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22" w:rsidRDefault="00540522">
      <w:pPr>
        <w:spacing w:line="1" w:lineRule="exact"/>
        <w:sectPr w:rsidR="00540522">
          <w:headerReference w:type="default" r:id="rId7"/>
          <w:headerReference w:type="first" r:id="rId8"/>
          <w:pgSz w:w="11900" w:h="16840"/>
          <w:pgMar w:top="461" w:right="818" w:bottom="801" w:left="1666" w:header="0" w:footer="3" w:gutter="0"/>
          <w:pgNumType w:start="1"/>
          <w:cols w:space="720"/>
          <w:noEndnote/>
          <w:titlePg/>
          <w:docGrid w:linePitch="360"/>
        </w:sectPr>
      </w:pPr>
    </w:p>
    <w:p w:rsidR="00540522" w:rsidRDefault="00540522">
      <w:pPr>
        <w:pStyle w:val="30"/>
        <w:spacing w:after="540"/>
        <w:jc w:val="left"/>
      </w:pPr>
    </w:p>
    <w:p w:rsidR="00540522" w:rsidRPr="00E84E86" w:rsidRDefault="00E447D3" w:rsidP="00E84E86">
      <w:pPr>
        <w:pStyle w:val="1"/>
        <w:spacing w:after="640" w:line="240" w:lineRule="auto"/>
        <w:ind w:firstLine="0"/>
        <w:jc w:val="center"/>
        <w:rPr>
          <w:b/>
        </w:rPr>
      </w:pPr>
      <w:bookmarkStart w:id="0" w:name="_GoBack"/>
      <w:r w:rsidRPr="00E84E86">
        <w:rPr>
          <w:b/>
        </w:rPr>
        <w:t>Информация об эпизоотической ситуации в Российской Федерации по состоянию на 25 июня 2023 г</w:t>
      </w:r>
      <w:r w:rsidR="00E84E86" w:rsidRPr="00E84E86">
        <w:rPr>
          <w:b/>
        </w:rPr>
        <w:t>ода</w:t>
      </w:r>
    </w:p>
    <w:bookmarkEnd w:id="0"/>
    <w:p w:rsidR="00540522" w:rsidRDefault="00E447D3" w:rsidP="00E84E86">
      <w:pPr>
        <w:pStyle w:val="1"/>
        <w:spacing w:line="240" w:lineRule="auto"/>
        <w:ind w:firstLine="720"/>
        <w:jc w:val="both"/>
      </w:pPr>
      <w:r>
        <w:rPr>
          <w:b/>
          <w:bCs/>
        </w:rPr>
        <w:t xml:space="preserve">В период с 19 июня по 25 июня 2023 г. </w:t>
      </w:r>
      <w:r>
        <w:t>на территории Российской Федерации произошли следующие изменения эпизоотической ситуации.</w:t>
      </w:r>
    </w:p>
    <w:p w:rsidR="00540522" w:rsidRDefault="00E447D3" w:rsidP="00E84E86">
      <w:pPr>
        <w:pStyle w:val="1"/>
        <w:tabs>
          <w:tab w:val="left" w:pos="3754"/>
        </w:tabs>
        <w:spacing w:line="240" w:lineRule="auto"/>
        <w:ind w:firstLine="720"/>
        <w:jc w:val="both"/>
      </w:pPr>
      <w:r>
        <w:t xml:space="preserve">Отменен карантин по </w:t>
      </w:r>
      <w:r>
        <w:rPr>
          <w:b/>
          <w:bCs/>
        </w:rPr>
        <w:t xml:space="preserve">африканской чуме свиней </w:t>
      </w:r>
      <w:r>
        <w:t>(далее-АЧС) в г. Донецк (протокол №</w:t>
      </w:r>
      <w:r>
        <w:tab/>
        <w:t>9 дистанционного заседания чрезвычайной</w:t>
      </w:r>
    </w:p>
    <w:p w:rsidR="00540522" w:rsidRDefault="00E447D3" w:rsidP="00E84E86">
      <w:pPr>
        <w:pStyle w:val="1"/>
        <w:spacing w:line="240" w:lineRule="auto"/>
        <w:ind w:firstLine="0"/>
        <w:jc w:val="both"/>
      </w:pPr>
      <w:r>
        <w:t>противоэ</w:t>
      </w:r>
      <w:r>
        <w:t>пизоотической комиссии города Донецка от 28 декабря 2022 г.).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 xml:space="preserve">Среди домашних свиней карантинные ограничения по АЧС продолжают действовать </w:t>
      </w:r>
      <w:r>
        <w:rPr>
          <w:b/>
          <w:bCs/>
        </w:rPr>
        <w:t>в 5 очагах</w:t>
      </w:r>
      <w:r>
        <w:t xml:space="preserve">: 1 - в Саратовской области, по 2 - в Приморском крае и Ульяновской области, а также на территории </w:t>
      </w:r>
      <w:r>
        <w:rPr>
          <w:b/>
          <w:bCs/>
        </w:rPr>
        <w:t>2 инфицир</w:t>
      </w:r>
      <w:r>
        <w:rPr>
          <w:b/>
          <w:bCs/>
        </w:rPr>
        <w:t xml:space="preserve">ованных вирусом АЧС объектов </w:t>
      </w:r>
      <w:r>
        <w:t>в Ульяновской области.</w:t>
      </w:r>
    </w:p>
    <w:p w:rsidR="00540522" w:rsidRDefault="00E447D3" w:rsidP="00E84E86">
      <w:pPr>
        <w:pStyle w:val="1"/>
        <w:tabs>
          <w:tab w:val="left" w:pos="2794"/>
          <w:tab w:val="left" w:pos="4605"/>
        </w:tabs>
        <w:spacing w:line="240" w:lineRule="auto"/>
        <w:ind w:firstLine="720"/>
        <w:jc w:val="both"/>
      </w:pPr>
      <w:r>
        <w:t xml:space="preserve">В дикой природе карантинные ограничения по АЧС </w:t>
      </w:r>
      <w:r>
        <w:rPr>
          <w:b/>
          <w:bCs/>
        </w:rPr>
        <w:t xml:space="preserve">действуют в 1 очаге </w:t>
      </w:r>
      <w:r>
        <w:t xml:space="preserve">в Ярославской области, а также на территории </w:t>
      </w:r>
      <w:r>
        <w:rPr>
          <w:b/>
          <w:bCs/>
        </w:rPr>
        <w:t>3 инфицированных вирусом АЧС</w:t>
      </w:r>
      <w:r>
        <w:rPr>
          <w:b/>
          <w:bCs/>
        </w:rPr>
        <w:tab/>
        <w:t>объектов:</w:t>
      </w:r>
      <w:r>
        <w:rPr>
          <w:b/>
          <w:bCs/>
        </w:rPr>
        <w:tab/>
      </w:r>
      <w:r>
        <w:t>в Саратовской, Нижегородской</w:t>
      </w:r>
    </w:p>
    <w:p w:rsidR="00540522" w:rsidRDefault="00E447D3" w:rsidP="00E84E86">
      <w:pPr>
        <w:pStyle w:val="1"/>
        <w:spacing w:line="240" w:lineRule="auto"/>
        <w:ind w:firstLine="0"/>
        <w:jc w:val="both"/>
      </w:pPr>
      <w:r>
        <w:t>и Ульяновской областях.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 xml:space="preserve">Установлено 4 </w:t>
      </w:r>
      <w:r>
        <w:rPr>
          <w:b/>
          <w:bCs/>
        </w:rPr>
        <w:t xml:space="preserve">очага высокопатогенного гриппа птиц </w:t>
      </w:r>
      <w:r>
        <w:t>(далее-ВГП) среди дикой птицы:</w:t>
      </w:r>
    </w:p>
    <w:p w:rsidR="00540522" w:rsidRDefault="00E447D3" w:rsidP="00E84E86">
      <w:pPr>
        <w:pStyle w:val="1"/>
        <w:numPr>
          <w:ilvl w:val="0"/>
          <w:numId w:val="1"/>
        </w:numPr>
        <w:tabs>
          <w:tab w:val="left" w:pos="1002"/>
        </w:tabs>
        <w:spacing w:line="240" w:lineRule="auto"/>
        <w:ind w:firstLine="660"/>
        <w:jc w:val="both"/>
      </w:pPr>
      <w:r>
        <w:t>в г. Ржев Тверской области;</w:t>
      </w:r>
    </w:p>
    <w:p w:rsidR="00540522" w:rsidRDefault="00E447D3" w:rsidP="00E84E86">
      <w:pPr>
        <w:pStyle w:val="1"/>
        <w:numPr>
          <w:ilvl w:val="0"/>
          <w:numId w:val="1"/>
        </w:numPr>
        <w:tabs>
          <w:tab w:val="left" w:pos="1002"/>
        </w:tabs>
        <w:spacing w:line="240" w:lineRule="auto"/>
        <w:ind w:firstLine="660"/>
        <w:jc w:val="both"/>
      </w:pPr>
      <w:r>
        <w:t>в Муромском районе Владимирской области;</w:t>
      </w:r>
    </w:p>
    <w:p w:rsidR="00540522" w:rsidRDefault="00E447D3" w:rsidP="00E84E86">
      <w:pPr>
        <w:pStyle w:val="1"/>
        <w:numPr>
          <w:ilvl w:val="0"/>
          <w:numId w:val="1"/>
        </w:numPr>
        <w:tabs>
          <w:tab w:val="left" w:pos="1002"/>
        </w:tabs>
        <w:spacing w:line="240" w:lineRule="auto"/>
        <w:ind w:firstLine="660"/>
        <w:jc w:val="both"/>
      </w:pPr>
      <w:r>
        <w:t>в г. Воронеж;</w:t>
      </w:r>
    </w:p>
    <w:p w:rsidR="00540522" w:rsidRDefault="00E447D3" w:rsidP="00E84E86">
      <w:pPr>
        <w:pStyle w:val="1"/>
        <w:numPr>
          <w:ilvl w:val="0"/>
          <w:numId w:val="1"/>
        </w:numPr>
        <w:tabs>
          <w:tab w:val="left" w:pos="1002"/>
        </w:tabs>
        <w:spacing w:line="240" w:lineRule="auto"/>
        <w:ind w:firstLine="660"/>
        <w:jc w:val="both"/>
      </w:pPr>
      <w:r>
        <w:t>в Одинцовском городском округе Московской области.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 xml:space="preserve">Отменен карантин по </w:t>
      </w:r>
      <w:r>
        <w:rPr>
          <w:b/>
          <w:bCs/>
        </w:rPr>
        <w:t xml:space="preserve">ВГП </w:t>
      </w:r>
      <w:r>
        <w:t xml:space="preserve">в Окуловском </w:t>
      </w:r>
      <w:r>
        <w:t>районе Новгородской области (указ Губернатора Новгородской области от 19 июня 2023 г. № 377).</w:t>
      </w:r>
    </w:p>
    <w:p w:rsidR="00540522" w:rsidRDefault="00E447D3" w:rsidP="00E84E86">
      <w:pPr>
        <w:pStyle w:val="1"/>
        <w:tabs>
          <w:tab w:val="left" w:pos="445"/>
          <w:tab w:val="left" w:pos="817"/>
          <w:tab w:val="left" w:pos="1187"/>
          <w:tab w:val="left" w:pos="1586"/>
          <w:tab w:val="left" w:pos="3244"/>
        </w:tabs>
        <w:spacing w:line="240" w:lineRule="auto"/>
        <w:ind w:firstLine="72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ВГП действуют в 47 очагах: </w:t>
      </w:r>
      <w:r>
        <w:t>по</w:t>
      </w:r>
      <w:r>
        <w:tab/>
        <w:t>1</w:t>
      </w:r>
      <w:r>
        <w:tab/>
        <w:t>-</w:t>
      </w:r>
      <w:r>
        <w:tab/>
        <w:t>в</w:t>
      </w:r>
      <w:r>
        <w:tab/>
        <w:t>Камчатском</w:t>
      </w:r>
      <w:r>
        <w:tab/>
        <w:t>крае, Херсонской, Воронежской, Московской,</w:t>
      </w:r>
    </w:p>
    <w:p w:rsidR="00540522" w:rsidRDefault="00E447D3" w:rsidP="00E84E86">
      <w:pPr>
        <w:pStyle w:val="1"/>
        <w:tabs>
          <w:tab w:val="left" w:pos="445"/>
          <w:tab w:val="left" w:pos="817"/>
          <w:tab w:val="left" w:pos="1182"/>
          <w:tab w:val="left" w:pos="1586"/>
          <w:tab w:val="left" w:pos="3244"/>
        </w:tabs>
        <w:spacing w:line="240" w:lineRule="auto"/>
        <w:ind w:firstLine="0"/>
        <w:jc w:val="both"/>
      </w:pPr>
      <w:r>
        <w:t>Ярославской, Нижегородской, Калужской и Мага</w:t>
      </w:r>
      <w:r>
        <w:t>данской областях, по</w:t>
      </w:r>
      <w:r>
        <w:tab/>
        <w:t>2</w:t>
      </w:r>
      <w:r>
        <w:tab/>
        <w:t>-</w:t>
      </w:r>
      <w:r>
        <w:tab/>
        <w:t>в</w:t>
      </w:r>
      <w:r>
        <w:tab/>
        <w:t>Ивановской,</w:t>
      </w:r>
      <w:r>
        <w:tab/>
        <w:t>Смоленской и Тверской областях, г. Москве</w:t>
      </w:r>
    </w:p>
    <w:p w:rsidR="00540522" w:rsidRDefault="00E447D3" w:rsidP="00E84E86">
      <w:pPr>
        <w:pStyle w:val="1"/>
        <w:tabs>
          <w:tab w:val="left" w:pos="1607"/>
          <w:tab w:val="left" w:pos="6012"/>
        </w:tabs>
        <w:spacing w:line="240" w:lineRule="auto"/>
        <w:ind w:firstLine="0"/>
        <w:jc w:val="both"/>
      </w:pPr>
      <w:r>
        <w:t>и Республике Коми, по 3 - в Калининградской, Владимирской и Костромской областях, 4</w:t>
      </w:r>
      <w:r>
        <w:tab/>
        <w:t>- в Удмуртской Республике, 6</w:t>
      </w:r>
      <w:r>
        <w:tab/>
        <w:t>- Республике Марий Эл,</w:t>
      </w:r>
    </w:p>
    <w:p w:rsidR="00540522" w:rsidRDefault="00E447D3" w:rsidP="00E84E86">
      <w:pPr>
        <w:pStyle w:val="1"/>
        <w:spacing w:line="240" w:lineRule="auto"/>
        <w:ind w:firstLine="0"/>
        <w:jc w:val="both"/>
      </w:pPr>
      <w:r>
        <w:t>10 - в Кировской области.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>Карантинные о</w:t>
      </w:r>
      <w:r>
        <w:t xml:space="preserve">граничения по </w:t>
      </w:r>
      <w:r>
        <w:rPr>
          <w:b/>
          <w:bCs/>
        </w:rPr>
        <w:t xml:space="preserve">сапу лошадей </w:t>
      </w:r>
      <w:r>
        <w:t>продолжают действовать в очаге заболевания в г. Чите Забайкальского края.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сибирской язве крупного рогатого скота </w:t>
      </w:r>
      <w:r>
        <w:t>продолжают действовать в Бондарском районе Тамбовской области.</w:t>
      </w:r>
    </w:p>
    <w:p w:rsidR="00540522" w:rsidRDefault="00E447D3" w:rsidP="00E84E86">
      <w:pPr>
        <w:pStyle w:val="1"/>
        <w:spacing w:line="240" w:lineRule="auto"/>
        <w:ind w:firstLine="720"/>
        <w:jc w:val="both"/>
      </w:pPr>
      <w:r>
        <w:t xml:space="preserve">Карантинные ограничения по </w:t>
      </w:r>
      <w:r>
        <w:rPr>
          <w:b/>
          <w:bCs/>
        </w:rPr>
        <w:t xml:space="preserve">туберкулезу крупного рогатого скота </w:t>
      </w:r>
      <w:r>
        <w:t>действуют в очагах на территории Тюлячинского и Кайбитского районов Республики Татарстан и Теньгушевского района Республики Мордовия.</w:t>
      </w:r>
    </w:p>
    <w:p w:rsidR="00540522" w:rsidRDefault="00E447D3" w:rsidP="00E84E86">
      <w:pPr>
        <w:pStyle w:val="1"/>
        <w:tabs>
          <w:tab w:val="left" w:pos="445"/>
        </w:tabs>
        <w:spacing w:line="240" w:lineRule="auto"/>
        <w:ind w:firstLine="720"/>
        <w:jc w:val="both"/>
      </w:pPr>
      <w:r>
        <w:t xml:space="preserve">Выявлено </w:t>
      </w:r>
      <w:r>
        <w:rPr>
          <w:b/>
          <w:bCs/>
        </w:rPr>
        <w:t>11 очагов бруцеллеза среди крупного и мелкого рога</w:t>
      </w:r>
      <w:r>
        <w:rPr>
          <w:b/>
          <w:bCs/>
        </w:rPr>
        <w:t xml:space="preserve">того скота </w:t>
      </w:r>
      <w:r>
        <w:t xml:space="preserve">(далее - КРС и МРС), а также </w:t>
      </w:r>
      <w:r>
        <w:rPr>
          <w:b/>
          <w:bCs/>
        </w:rPr>
        <w:t>домашних животных (собак)</w:t>
      </w:r>
      <w:r>
        <w:t>, в том числе: 2 - в Енотаевском и Черноярском районах Астраханской области (заболело 25 голов МРС и 13 голов КРС), 2 - в Акушинском и Буйнакском районах Республики Дагестан (заболело 87 голо</w:t>
      </w:r>
      <w:r>
        <w:t>в МРС), 2</w:t>
      </w:r>
      <w:r>
        <w:tab/>
        <w:t>- в Пригородном районе Республики Северная Осетия-Алания</w:t>
      </w:r>
    </w:p>
    <w:p w:rsidR="00540522" w:rsidRDefault="00E447D3" w:rsidP="00E84E86">
      <w:pPr>
        <w:pStyle w:val="1"/>
        <w:spacing w:line="240" w:lineRule="auto"/>
        <w:ind w:firstLine="0"/>
        <w:jc w:val="both"/>
      </w:pPr>
      <w:r>
        <w:lastRenderedPageBreak/>
        <w:t>(заболело 2 головы КРС), 1 - в Фатежском районе Курской области (заболело 63 головы МРС и 2 собаки), 1 - в Пачелмском районе Пензенской области (заболело 64 головы МРС), 1 - в Иловлинском р</w:t>
      </w:r>
      <w:r>
        <w:t>айоне Волгоградской области (заболело 32 головы КРС), 1 - в Режевском районе Свердловской области (заболела 1 голова МРС), 1 - в Дубенском районе Республики Мордовия (заболело 11 голов КРС).</w:t>
      </w:r>
    </w:p>
    <w:p w:rsidR="00540522" w:rsidRDefault="00540522">
      <w:pPr>
        <w:spacing w:line="1" w:lineRule="exact"/>
        <w:sectPr w:rsidR="00540522" w:rsidSect="00E84E86">
          <w:type w:val="continuous"/>
          <w:pgSz w:w="11900" w:h="16840"/>
          <w:pgMar w:top="426" w:right="818" w:bottom="1001" w:left="1276" w:header="0" w:footer="3" w:gutter="0"/>
          <w:cols w:space="720"/>
          <w:noEndnote/>
          <w:docGrid w:linePitch="360"/>
        </w:sectPr>
      </w:pPr>
    </w:p>
    <w:p w:rsidR="00540522" w:rsidRDefault="00540522">
      <w:pPr>
        <w:spacing w:line="240" w:lineRule="exact"/>
        <w:rPr>
          <w:sz w:val="19"/>
          <w:szCs w:val="19"/>
        </w:rPr>
      </w:pPr>
    </w:p>
    <w:p w:rsidR="00540522" w:rsidRDefault="00540522">
      <w:pPr>
        <w:spacing w:line="240" w:lineRule="exact"/>
        <w:rPr>
          <w:sz w:val="19"/>
          <w:szCs w:val="19"/>
        </w:rPr>
      </w:pPr>
    </w:p>
    <w:p w:rsidR="00540522" w:rsidRDefault="00540522">
      <w:pPr>
        <w:spacing w:before="18" w:after="18" w:line="240" w:lineRule="exact"/>
        <w:rPr>
          <w:sz w:val="19"/>
          <w:szCs w:val="19"/>
        </w:rPr>
      </w:pPr>
    </w:p>
    <w:p w:rsidR="00540522" w:rsidRDefault="00540522">
      <w:pPr>
        <w:spacing w:line="1" w:lineRule="exact"/>
        <w:sectPr w:rsidR="00540522">
          <w:type w:val="continuous"/>
          <w:pgSz w:w="11900" w:h="16840"/>
          <w:pgMar w:top="1267" w:right="0" w:bottom="1267" w:left="0" w:header="0" w:footer="3" w:gutter="0"/>
          <w:cols w:space="720"/>
          <w:noEndnote/>
          <w:docGrid w:linePitch="360"/>
        </w:sectPr>
      </w:pPr>
    </w:p>
    <w:p w:rsidR="00540522" w:rsidRDefault="00540522" w:rsidP="00E84E86">
      <w:pPr>
        <w:pStyle w:val="40"/>
      </w:pPr>
    </w:p>
    <w:sectPr w:rsidR="00540522">
      <w:type w:val="continuous"/>
      <w:pgSz w:w="11900" w:h="16840"/>
      <w:pgMar w:top="1267" w:right="820" w:bottom="126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3" w:rsidRDefault="00E447D3">
      <w:r>
        <w:separator/>
      </w:r>
    </w:p>
  </w:endnote>
  <w:endnote w:type="continuationSeparator" w:id="0">
    <w:p w:rsidR="00E447D3" w:rsidRDefault="00E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3" w:rsidRDefault="00E447D3"/>
  </w:footnote>
  <w:footnote w:type="continuationSeparator" w:id="0">
    <w:p w:rsidR="00E447D3" w:rsidRDefault="00E4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22" w:rsidRDefault="00E447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501015</wp:posOffset>
              </wp:positionV>
              <wp:extent cx="78740" cy="1206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0522" w:rsidRDefault="00E447D3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.55000000000001pt;margin-top:39.450000000000003pt;width:6.2000000000000002pt;height:9.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22" w:rsidRDefault="0054052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4FD8"/>
    <w:multiLevelType w:val="multilevel"/>
    <w:tmpl w:val="C20E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22"/>
    <w:rsid w:val="00540522"/>
    <w:rsid w:val="00E447D3"/>
    <w:rsid w:val="00E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9F63"/>
  <w15:docId w15:val="{FEB0539E-CAF8-4C24-BBC9-F3857BF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ahoma" w:eastAsia="Tahoma" w:hAnsi="Tahoma" w:cs="Tahoma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00"/>
      <w:ind w:left="340" w:firstLine="4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ИКТ</cp:lastModifiedBy>
  <cp:revision>2</cp:revision>
  <dcterms:created xsi:type="dcterms:W3CDTF">2023-06-29T09:19:00Z</dcterms:created>
  <dcterms:modified xsi:type="dcterms:W3CDTF">2023-06-29T09:21:00Z</dcterms:modified>
</cp:coreProperties>
</file>