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C" w:rsidRDefault="00C643BC" w:rsidP="00E71D25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091619">
        <w:rPr>
          <w:b/>
          <w:sz w:val="28"/>
          <w:szCs w:val="28"/>
        </w:rPr>
        <w:t>Многодетные семьи имею</w:t>
      </w:r>
      <w:r w:rsidR="00091619">
        <w:rPr>
          <w:b/>
          <w:sz w:val="28"/>
          <w:szCs w:val="28"/>
        </w:rPr>
        <w:t>т</w:t>
      </w:r>
      <w:r w:rsidRPr="00091619">
        <w:rPr>
          <w:b/>
          <w:sz w:val="28"/>
          <w:szCs w:val="28"/>
        </w:rPr>
        <w:t xml:space="preserve"> право на погашение ипотечного кредита в размере 450 тыс. рублей</w:t>
      </w:r>
    </w:p>
    <w:bookmarkEnd w:id="0"/>
    <w:p w:rsidR="00E71D25" w:rsidRPr="00091619" w:rsidRDefault="00E71D25" w:rsidP="00091619">
      <w:pPr>
        <w:ind w:firstLine="709"/>
        <w:jc w:val="both"/>
        <w:rPr>
          <w:b/>
          <w:sz w:val="28"/>
          <w:szCs w:val="28"/>
        </w:rPr>
      </w:pPr>
    </w:p>
    <w:p w:rsidR="00C643BC" w:rsidRPr="00091619" w:rsidRDefault="00C643BC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>Многодетные семьи, заключившие ипотечный договор до 1 июля 2024 года, в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которых с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1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января 2019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г. по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31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декабря 2023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г. родился третий или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последующий ребёнок имею право на поддержку со стороны государства на погашение ипотечного кредита в размере 450 тыс. руб.</w:t>
      </w:r>
    </w:p>
    <w:p w:rsidR="00C643BC" w:rsidRPr="00091619" w:rsidRDefault="00C643BC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 xml:space="preserve">Эксперт кафедры конституционного, административного и уголовного права Среднерусского института управления – филиала </w:t>
      </w:r>
      <w:proofErr w:type="spellStart"/>
      <w:r w:rsidRPr="00091619">
        <w:rPr>
          <w:sz w:val="28"/>
          <w:szCs w:val="28"/>
        </w:rPr>
        <w:t>РАНХиГС</w:t>
      </w:r>
      <w:proofErr w:type="spellEnd"/>
      <w:r w:rsidRPr="00091619">
        <w:rPr>
          <w:sz w:val="28"/>
          <w:szCs w:val="28"/>
        </w:rPr>
        <w:t xml:space="preserve"> Наталия Малявкина поясняет, кому доступна указанная программа и как ее получить.</w:t>
      </w:r>
    </w:p>
    <w:p w:rsidR="00091619" w:rsidRDefault="00091619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>Условия для получения денежной выплаты следующие:</w:t>
      </w:r>
    </w:p>
    <w:p w:rsidR="00091619" w:rsidRPr="00091619" w:rsidRDefault="00091619" w:rsidP="000916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91619">
        <w:rPr>
          <w:sz w:val="28"/>
          <w:szCs w:val="28"/>
        </w:rPr>
        <w:t>заключение ипотечного договора до 1 июля 2024 года;</w:t>
      </w:r>
    </w:p>
    <w:p w:rsidR="00091619" w:rsidRPr="00091619" w:rsidRDefault="00091619" w:rsidP="000916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91619">
        <w:rPr>
          <w:sz w:val="28"/>
          <w:szCs w:val="28"/>
        </w:rPr>
        <w:t>ранее семья не пользовалась этой мерой поддержки;</w:t>
      </w:r>
    </w:p>
    <w:p w:rsidR="00091619" w:rsidRPr="00091619" w:rsidRDefault="00091619" w:rsidP="000916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91619">
        <w:rPr>
          <w:sz w:val="28"/>
          <w:szCs w:val="28"/>
        </w:rPr>
        <w:t>заемщик является гражданином Российской Федерации;</w:t>
      </w:r>
    </w:p>
    <w:p w:rsidR="00091619" w:rsidRPr="00091619" w:rsidRDefault="00091619" w:rsidP="0009161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91619">
        <w:rPr>
          <w:sz w:val="28"/>
          <w:szCs w:val="28"/>
        </w:rPr>
        <w:t>заемщик не был лишен родительских прав.</w:t>
      </w:r>
    </w:p>
    <w:p w:rsidR="00091619" w:rsidRDefault="00091619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>Для получения государственной поддержки не имеет значение, состоит ли родитель в браке или он одинокой</w:t>
      </w:r>
      <w:r>
        <w:rPr>
          <w:sz w:val="28"/>
          <w:szCs w:val="28"/>
        </w:rPr>
        <w:t>.</w:t>
      </w:r>
    </w:p>
    <w:p w:rsidR="00091619" w:rsidRDefault="00091619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 xml:space="preserve">По этой программе погасить за счет государства можно только долг по ипотеке. При этом нет ограничения по категории жилья </w:t>
      </w:r>
      <w:r>
        <w:rPr>
          <w:sz w:val="28"/>
          <w:szCs w:val="28"/>
        </w:rPr>
        <w:t>–</w:t>
      </w:r>
      <w:r w:rsidRPr="00091619">
        <w:rPr>
          <w:sz w:val="28"/>
          <w:szCs w:val="28"/>
        </w:rPr>
        <w:t xml:space="preserve"> это может быть как квартира от застройщика, так и недвижимость на вторичном рынке. Также субсидия распространяется на кредиты, оформленные на строительство жилого дома.</w:t>
      </w:r>
    </w:p>
    <w:p w:rsidR="00091619" w:rsidRDefault="00091619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>Итак, 450 тысяч можно получить на погашение ипотеки, оформленной на: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квартиры в строящемся доме;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квартиры у застройщика;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квартиры у физического лица;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частного дома;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строительство частного дома;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недостроенного дома;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покупку земельного участка для строительства жилого дома, ведения личного подсобного хозяйства или садоводства (после завершения строительства и регистрации дома);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выкуп последней доли в доме или квартире, если в результате заемщик становится собственником всего объекта;</w:t>
      </w:r>
    </w:p>
    <w:p w:rsidR="00091619" w:rsidRPr="004822C5" w:rsidRDefault="00091619" w:rsidP="004822C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822C5">
        <w:rPr>
          <w:sz w:val="28"/>
          <w:szCs w:val="28"/>
        </w:rPr>
        <w:t>выплату рефинансированных кредитов, если они получены на вышеперечисленные цели.</w:t>
      </w:r>
    </w:p>
    <w:p w:rsidR="00515265" w:rsidRPr="00091619" w:rsidRDefault="00947FA7" w:rsidP="00091619">
      <w:pPr>
        <w:ind w:firstLine="709"/>
        <w:jc w:val="both"/>
        <w:rPr>
          <w:sz w:val="28"/>
          <w:szCs w:val="28"/>
        </w:rPr>
      </w:pPr>
      <w:r w:rsidRPr="00091619">
        <w:rPr>
          <w:sz w:val="28"/>
          <w:szCs w:val="28"/>
        </w:rPr>
        <w:t>В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первую очередь за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счёт выплаты будет погашена задолженность по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основному долгу. На этот счёт Наталия Малявкина отмечает, что на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самом деле сумма экономии будет даже больше</w:t>
      </w:r>
      <w:r w:rsidR="00091619">
        <w:rPr>
          <w:sz w:val="28"/>
          <w:szCs w:val="28"/>
        </w:rPr>
        <w:t>, так как</w:t>
      </w:r>
      <w:r w:rsidRPr="00091619">
        <w:rPr>
          <w:sz w:val="28"/>
          <w:szCs w:val="28"/>
        </w:rPr>
        <w:t xml:space="preserve"> при погашении долга уменьшится </w:t>
      </w:r>
      <w:r w:rsidR="00091619">
        <w:rPr>
          <w:sz w:val="28"/>
          <w:szCs w:val="28"/>
        </w:rPr>
        <w:t xml:space="preserve">и </w:t>
      </w:r>
      <w:r w:rsidRPr="00091619">
        <w:rPr>
          <w:sz w:val="28"/>
          <w:szCs w:val="28"/>
        </w:rPr>
        <w:t>сумма переплаты по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кредиту.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Но, если такая задолженность меньше 450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000, оставшиеся после погашения основного долга средства можно будет использовать для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оплаты процентов за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пользование кредитом. Также в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рамках программы возможно погашение просроченной задолженности по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основному долгу и</w:t>
      </w:r>
      <w:r w:rsidR="00091619">
        <w:rPr>
          <w:sz w:val="28"/>
          <w:szCs w:val="28"/>
        </w:rPr>
        <w:t xml:space="preserve"> </w:t>
      </w:r>
      <w:r w:rsidRPr="00091619">
        <w:rPr>
          <w:sz w:val="28"/>
          <w:szCs w:val="28"/>
        </w:rPr>
        <w:t>процентам.</w:t>
      </w:r>
      <w:r w:rsidR="00091619" w:rsidRPr="00091619">
        <w:rPr>
          <w:sz w:val="28"/>
          <w:szCs w:val="28"/>
        </w:rPr>
        <w:t xml:space="preserve"> </w:t>
      </w:r>
    </w:p>
    <w:sectPr w:rsidR="00515265" w:rsidRPr="0009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919"/>
    <w:multiLevelType w:val="hybridMultilevel"/>
    <w:tmpl w:val="9E0E13B4"/>
    <w:lvl w:ilvl="0" w:tplc="D4F20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CE633B"/>
    <w:multiLevelType w:val="multilevel"/>
    <w:tmpl w:val="4F4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3C64"/>
    <w:multiLevelType w:val="hybridMultilevel"/>
    <w:tmpl w:val="34760142"/>
    <w:lvl w:ilvl="0" w:tplc="D4F20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15FB5"/>
    <w:multiLevelType w:val="multilevel"/>
    <w:tmpl w:val="CD0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8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1619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2E3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2C5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C754F"/>
    <w:rsid w:val="004D001F"/>
    <w:rsid w:val="004D09A3"/>
    <w:rsid w:val="004D3A38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47FA7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43BC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1D25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86D8-AA11-4835-BEFF-E9EF511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947FA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FA7"/>
    <w:rPr>
      <w:color w:val="0000FF"/>
      <w:u w:val="single"/>
    </w:rPr>
  </w:style>
  <w:style w:type="paragraph" w:customStyle="1" w:styleId="mt-16">
    <w:name w:val="mt-16"/>
    <w:basedOn w:val="a"/>
    <w:rsid w:val="00947FA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75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LEDOVO-PROFOR-3</cp:lastModifiedBy>
  <cp:revision>2</cp:revision>
  <dcterms:created xsi:type="dcterms:W3CDTF">2023-11-03T04:37:00Z</dcterms:created>
  <dcterms:modified xsi:type="dcterms:W3CDTF">2023-11-03T04:37:00Z</dcterms:modified>
</cp:coreProperties>
</file>