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9E" w:rsidRDefault="0093269E">
      <w:pPr>
        <w:spacing w:line="360" w:lineRule="exact"/>
      </w:pPr>
    </w:p>
    <w:p w:rsidR="0093269E" w:rsidRDefault="0093269E">
      <w:pPr>
        <w:spacing w:line="360" w:lineRule="exact"/>
      </w:pPr>
    </w:p>
    <w:p w:rsidR="0093269E" w:rsidRPr="00822108" w:rsidRDefault="006C17F8" w:rsidP="00822108">
      <w:pPr>
        <w:pStyle w:val="1"/>
        <w:spacing w:after="640" w:line="240" w:lineRule="auto"/>
        <w:ind w:firstLine="0"/>
        <w:jc w:val="center"/>
        <w:rPr>
          <w:b/>
        </w:rPr>
      </w:pPr>
      <w:bookmarkStart w:id="0" w:name="_GoBack"/>
      <w:r w:rsidRPr="00822108">
        <w:rPr>
          <w:b/>
        </w:rPr>
        <w:t>Информация об эпизоотической ситуации в Российской Федерации по состоянию на 2 июля 2023 г.</w:t>
      </w:r>
    </w:p>
    <w:bookmarkEnd w:id="0"/>
    <w:p w:rsidR="0093269E" w:rsidRDefault="006C17F8">
      <w:pPr>
        <w:pStyle w:val="1"/>
        <w:ind w:firstLine="720"/>
        <w:jc w:val="both"/>
      </w:pPr>
      <w:r>
        <w:rPr>
          <w:b/>
          <w:bCs/>
        </w:rPr>
        <w:t xml:space="preserve">В период с 26 июня по 2 июля 2023 г. </w:t>
      </w:r>
      <w:r>
        <w:t>на территории Российской Федерации произошли следующие изменения эпизоотической ситуации.</w:t>
      </w:r>
    </w:p>
    <w:p w:rsidR="0093269E" w:rsidRDefault="006C17F8">
      <w:pPr>
        <w:pStyle w:val="1"/>
        <w:ind w:firstLine="720"/>
        <w:jc w:val="both"/>
      </w:pPr>
      <w:r>
        <w:t xml:space="preserve">Установлен </w:t>
      </w:r>
      <w:r>
        <w:rPr>
          <w:b/>
          <w:bCs/>
        </w:rPr>
        <w:t xml:space="preserve">1 очаг африканской чумы свиней </w:t>
      </w:r>
      <w:r>
        <w:t xml:space="preserve">(далее-АЧС) </w:t>
      </w:r>
      <w:r>
        <w:rPr>
          <w:b/>
          <w:bCs/>
        </w:rPr>
        <w:t xml:space="preserve">среди домашних свиней </w:t>
      </w:r>
      <w:r>
        <w:t xml:space="preserve">в Вольском районе Саратовской области, кроме того </w:t>
      </w:r>
      <w:r>
        <w:rPr>
          <w:b/>
          <w:bCs/>
        </w:rPr>
        <w:t xml:space="preserve">1 очаг </w:t>
      </w:r>
      <w:r>
        <w:t xml:space="preserve">и </w:t>
      </w:r>
      <w:r>
        <w:rPr>
          <w:b/>
          <w:bCs/>
        </w:rPr>
        <w:t xml:space="preserve">4 инфицированных объекта </w:t>
      </w:r>
      <w:r>
        <w:t>в дикой природе:</w:t>
      </w:r>
    </w:p>
    <w:p w:rsidR="0093269E" w:rsidRDefault="006C17F8">
      <w:pPr>
        <w:pStyle w:val="1"/>
        <w:numPr>
          <w:ilvl w:val="0"/>
          <w:numId w:val="1"/>
        </w:numPr>
        <w:tabs>
          <w:tab w:val="left" w:pos="1063"/>
        </w:tabs>
        <w:ind w:firstLine="720"/>
        <w:jc w:val="both"/>
      </w:pPr>
      <w:r>
        <w:t>1 очаг в Лежневском районе Ивановской области;</w:t>
      </w:r>
    </w:p>
    <w:p w:rsidR="0093269E" w:rsidRDefault="006C17F8">
      <w:pPr>
        <w:pStyle w:val="1"/>
        <w:numPr>
          <w:ilvl w:val="0"/>
          <w:numId w:val="1"/>
        </w:numPr>
        <w:tabs>
          <w:tab w:val="left" w:pos="1063"/>
          <w:tab w:val="left" w:pos="1298"/>
        </w:tabs>
        <w:ind w:firstLine="720"/>
        <w:jc w:val="both"/>
      </w:pPr>
      <w:r>
        <w:t xml:space="preserve">3 инфицированных объекта в </w:t>
      </w:r>
      <w:r>
        <w:t>Воскресенском районе</w:t>
      </w:r>
    </w:p>
    <w:p w:rsidR="0093269E" w:rsidRDefault="006C17F8">
      <w:pPr>
        <w:pStyle w:val="1"/>
        <w:ind w:firstLine="0"/>
      </w:pPr>
      <w:r>
        <w:t>и 1 инфицированный объект в Новобурасском районе Саратовской области.</w:t>
      </w:r>
    </w:p>
    <w:p w:rsidR="0093269E" w:rsidRDefault="006C17F8">
      <w:pPr>
        <w:pStyle w:val="1"/>
        <w:ind w:firstLine="720"/>
        <w:jc w:val="both"/>
      </w:pPr>
      <w:r>
        <w:t>Среди домашних свиней карантинные ограничения по АЧС продолжают действовать в 6 очагах: по 2 - в Саратовской и Ульяновской областях и Приморском крае, а также на тер</w:t>
      </w:r>
      <w:r>
        <w:t>ритории 2 инфицированных вирусом АЧС объектов в Ульяновской области.</w:t>
      </w:r>
    </w:p>
    <w:p w:rsidR="0093269E" w:rsidRDefault="006C17F8">
      <w:pPr>
        <w:pStyle w:val="1"/>
        <w:tabs>
          <w:tab w:val="left" w:pos="2569"/>
        </w:tabs>
        <w:ind w:firstLine="720"/>
        <w:jc w:val="both"/>
      </w:pPr>
      <w:r>
        <w:t>В дикой природе карантинные ограничения по АЧС действуют в 2 очагах: по 1</w:t>
      </w:r>
      <w:r>
        <w:tab/>
        <w:t>- в Ярославской и Ивановской областях, а также</w:t>
      </w:r>
    </w:p>
    <w:p w:rsidR="0093269E" w:rsidRDefault="006C17F8">
      <w:pPr>
        <w:pStyle w:val="1"/>
        <w:ind w:firstLine="0"/>
        <w:jc w:val="both"/>
      </w:pPr>
      <w:r>
        <w:t>на территории 7 инфицированных вирусом АЧС объектов: 5 - в Саратов</w:t>
      </w:r>
      <w:r>
        <w:t>ской области и по 1 - в Нижегородской и Ульяновской областях.</w:t>
      </w:r>
    </w:p>
    <w:p w:rsidR="0093269E" w:rsidRDefault="006C17F8">
      <w:pPr>
        <w:pStyle w:val="1"/>
        <w:ind w:firstLine="720"/>
        <w:jc w:val="both"/>
      </w:pPr>
      <w:r>
        <w:t xml:space="preserve">Установлено </w:t>
      </w:r>
      <w:r>
        <w:rPr>
          <w:b/>
          <w:bCs/>
        </w:rPr>
        <w:t xml:space="preserve">6 очагов высокопатогенного гриппа птиц </w:t>
      </w:r>
      <w:r>
        <w:t>(далее-ВГП) среди дикой птицы:</w:t>
      </w:r>
    </w:p>
    <w:p w:rsidR="0093269E" w:rsidRDefault="006C17F8">
      <w:pPr>
        <w:pStyle w:val="1"/>
        <w:numPr>
          <w:ilvl w:val="0"/>
          <w:numId w:val="1"/>
        </w:numPr>
        <w:tabs>
          <w:tab w:val="left" w:pos="1063"/>
        </w:tabs>
        <w:ind w:firstLine="720"/>
      </w:pPr>
      <w:r>
        <w:t>в Одинцовском городском округе Московской области;</w:t>
      </w:r>
    </w:p>
    <w:p w:rsidR="0093269E" w:rsidRDefault="006C17F8">
      <w:pPr>
        <w:pStyle w:val="1"/>
        <w:numPr>
          <w:ilvl w:val="0"/>
          <w:numId w:val="1"/>
        </w:numPr>
        <w:tabs>
          <w:tab w:val="left" w:pos="1063"/>
        </w:tabs>
        <w:ind w:firstLine="720"/>
      </w:pPr>
      <w:r>
        <w:t>в г. Воронеже;</w:t>
      </w:r>
    </w:p>
    <w:p w:rsidR="0093269E" w:rsidRDefault="006C17F8">
      <w:pPr>
        <w:pStyle w:val="1"/>
        <w:numPr>
          <w:ilvl w:val="0"/>
          <w:numId w:val="1"/>
        </w:numPr>
        <w:tabs>
          <w:tab w:val="left" w:pos="1063"/>
        </w:tabs>
        <w:spacing w:after="420"/>
        <w:ind w:firstLine="720"/>
      </w:pPr>
      <w:r>
        <w:t>в г. Мантурово Костромской области;</w:t>
      </w:r>
    </w:p>
    <w:p w:rsidR="0093269E" w:rsidRDefault="006C17F8">
      <w:pPr>
        <w:pStyle w:val="1"/>
        <w:numPr>
          <w:ilvl w:val="0"/>
          <w:numId w:val="1"/>
        </w:numPr>
        <w:tabs>
          <w:tab w:val="left" w:pos="1035"/>
        </w:tabs>
        <w:ind w:firstLine="720"/>
        <w:jc w:val="both"/>
      </w:pPr>
      <w:r>
        <w:t>в г. Дзерж</w:t>
      </w:r>
      <w:r>
        <w:t>инске Нижегородской области;</w:t>
      </w:r>
    </w:p>
    <w:p w:rsidR="0093269E" w:rsidRDefault="006C17F8">
      <w:pPr>
        <w:pStyle w:val="1"/>
        <w:numPr>
          <w:ilvl w:val="0"/>
          <w:numId w:val="1"/>
        </w:numPr>
        <w:tabs>
          <w:tab w:val="left" w:pos="1035"/>
        </w:tabs>
        <w:ind w:firstLine="720"/>
        <w:jc w:val="both"/>
      </w:pPr>
      <w:r>
        <w:t>в Соликамском районе Пермского края;</w:t>
      </w:r>
    </w:p>
    <w:p w:rsidR="0093269E" w:rsidRDefault="006C17F8">
      <w:pPr>
        <w:pStyle w:val="1"/>
        <w:numPr>
          <w:ilvl w:val="0"/>
          <w:numId w:val="1"/>
        </w:numPr>
        <w:tabs>
          <w:tab w:val="left" w:pos="1035"/>
        </w:tabs>
        <w:ind w:firstLine="720"/>
        <w:jc w:val="both"/>
      </w:pPr>
      <w:r>
        <w:t>в Игринском районе Удмуртской Республики.</w:t>
      </w:r>
    </w:p>
    <w:p w:rsidR="0093269E" w:rsidRDefault="006C17F8">
      <w:pPr>
        <w:pStyle w:val="1"/>
        <w:ind w:firstLine="720"/>
        <w:jc w:val="both"/>
      </w:pPr>
      <w:r>
        <w:t>Отменены ограничительные мероприятия по ВГП:</w:t>
      </w:r>
    </w:p>
    <w:p w:rsidR="0093269E" w:rsidRDefault="006C17F8">
      <w:pPr>
        <w:pStyle w:val="1"/>
        <w:numPr>
          <w:ilvl w:val="0"/>
          <w:numId w:val="1"/>
        </w:numPr>
        <w:tabs>
          <w:tab w:val="left" w:pos="1191"/>
        </w:tabs>
        <w:ind w:firstLine="720"/>
        <w:jc w:val="both"/>
      </w:pPr>
      <w:r>
        <w:t xml:space="preserve">в Фаленском муниципальном округе Кировской области (указ Губернатора Кировской области от 26 июня 2023 </w:t>
      </w:r>
      <w:r>
        <w:t>г. № 98);</w:t>
      </w:r>
    </w:p>
    <w:p w:rsidR="0093269E" w:rsidRDefault="006C17F8">
      <w:pPr>
        <w:pStyle w:val="1"/>
        <w:ind w:firstLine="720"/>
        <w:jc w:val="both"/>
      </w:pPr>
      <w:r>
        <w:t>- в г. Сыктывкаре и с. Сторожевске Корткеросского района Республики Коми (указ Главы Республики Коми от 30 июня 2023 г. № 67).</w:t>
      </w:r>
    </w:p>
    <w:p w:rsidR="0093269E" w:rsidRDefault="006C17F8">
      <w:pPr>
        <w:pStyle w:val="1"/>
        <w:tabs>
          <w:tab w:val="left" w:pos="936"/>
        </w:tabs>
        <w:ind w:firstLine="720"/>
        <w:jc w:val="both"/>
      </w:pPr>
      <w:r>
        <w:t>Карантинные ограничения по ВГП действуют в 48 очагах: по 1</w:t>
      </w:r>
      <w:r>
        <w:tab/>
        <w:t>- в Камчатском и Пермском краях, Херсонской, Воронежской,</w:t>
      </w:r>
    </w:p>
    <w:p w:rsidR="0093269E" w:rsidRDefault="006C17F8">
      <w:pPr>
        <w:pStyle w:val="1"/>
        <w:ind w:firstLine="0"/>
        <w:jc w:val="both"/>
      </w:pPr>
      <w:r>
        <w:t>Яр</w:t>
      </w:r>
      <w:r>
        <w:t>ославской, Калужской, Магаданской и Московской областях, по 2 - в Ивановской, Смоленской, Тверской и Нижегородской областях и г. Москва, по 3 - в Калининградской и Владимирской областях, 4 - в Костромской области, 5 - в Удмуртской Республике, 6 - в Республ</w:t>
      </w:r>
      <w:r>
        <w:t>ике Марий Эл, 9 - в Кировской области.</w:t>
      </w:r>
    </w:p>
    <w:p w:rsidR="0093269E" w:rsidRDefault="006C17F8">
      <w:pPr>
        <w:pStyle w:val="1"/>
        <w:ind w:firstLine="720"/>
        <w:jc w:val="both"/>
      </w:pPr>
      <w:r>
        <w:lastRenderedPageBreak/>
        <w:t xml:space="preserve">Карантинные ограничения по </w:t>
      </w:r>
      <w:r>
        <w:rPr>
          <w:b/>
          <w:bCs/>
        </w:rPr>
        <w:t xml:space="preserve">сапу лошадей </w:t>
      </w:r>
      <w:r>
        <w:t>продолжают действовать в очаге заболевания в г. Чита.</w:t>
      </w:r>
    </w:p>
    <w:p w:rsidR="0093269E" w:rsidRDefault="006C17F8">
      <w:pPr>
        <w:pStyle w:val="1"/>
        <w:ind w:firstLine="720"/>
        <w:jc w:val="both"/>
      </w:pPr>
      <w:r>
        <w:t xml:space="preserve">Установлен </w:t>
      </w:r>
      <w:r>
        <w:rPr>
          <w:b/>
          <w:bCs/>
        </w:rPr>
        <w:t xml:space="preserve">1 очаг сибирской язвы </w:t>
      </w:r>
      <w:r>
        <w:t>в Барун-Хемчикском районе Республики Тыва.</w:t>
      </w:r>
    </w:p>
    <w:p w:rsidR="0093269E" w:rsidRDefault="006C17F8">
      <w:pPr>
        <w:pStyle w:val="1"/>
        <w:ind w:firstLine="720"/>
        <w:jc w:val="both"/>
      </w:pPr>
      <w:r>
        <w:t xml:space="preserve">В режиме карантина по </w:t>
      </w:r>
      <w:r>
        <w:rPr>
          <w:b/>
          <w:bCs/>
        </w:rPr>
        <w:t xml:space="preserve">сибирской язве </w:t>
      </w:r>
      <w:r>
        <w:t xml:space="preserve">находятся </w:t>
      </w:r>
      <w:r>
        <w:rPr>
          <w:b/>
          <w:bCs/>
        </w:rPr>
        <w:t xml:space="preserve">2 очага: 1 - </w:t>
      </w:r>
      <w:r>
        <w:t xml:space="preserve">в Бондарском районе Тамбовской области и </w:t>
      </w:r>
      <w:r>
        <w:rPr>
          <w:b/>
          <w:bCs/>
        </w:rPr>
        <w:t xml:space="preserve">1- </w:t>
      </w:r>
      <w:r>
        <w:t>Барун-Хемчикском районе Республики Тыва.</w:t>
      </w:r>
    </w:p>
    <w:p w:rsidR="0093269E" w:rsidRDefault="006C17F8">
      <w:pPr>
        <w:pStyle w:val="1"/>
        <w:ind w:firstLine="720"/>
        <w:jc w:val="both"/>
      </w:pPr>
      <w:r>
        <w:t xml:space="preserve">Карантинные мероприятия по </w:t>
      </w:r>
      <w:r>
        <w:rPr>
          <w:b/>
          <w:bCs/>
        </w:rPr>
        <w:t xml:space="preserve">туберкулезу крупного рогатого скота </w:t>
      </w:r>
      <w:r>
        <w:t xml:space="preserve">действуют в </w:t>
      </w:r>
      <w:r>
        <w:rPr>
          <w:b/>
          <w:bCs/>
        </w:rPr>
        <w:t xml:space="preserve">4 очагах </w:t>
      </w:r>
      <w:r>
        <w:t xml:space="preserve">на территории Тюлячинского и Кайбитского районов Республики Татарстан и </w:t>
      </w:r>
      <w:r>
        <w:t>Теньгушевского района Республики Мордовия.</w:t>
      </w:r>
    </w:p>
    <w:p w:rsidR="0093269E" w:rsidRDefault="006C17F8">
      <w:pPr>
        <w:pStyle w:val="1"/>
        <w:tabs>
          <w:tab w:val="left" w:pos="3922"/>
        </w:tabs>
        <w:ind w:firstLine="720"/>
        <w:jc w:val="both"/>
      </w:pPr>
      <w:r>
        <w:t xml:space="preserve">Выявлено </w:t>
      </w:r>
      <w:r>
        <w:rPr>
          <w:b/>
          <w:bCs/>
        </w:rPr>
        <w:t xml:space="preserve">6 очагов бруцеллеза крупного и мелкого рогатого скота </w:t>
      </w:r>
      <w:r>
        <w:t>(далее - КРС и МРС), в том числе: 1 - в Теучежском районе Республики Адыгея (заболело 55 голов МРС), 1 - в Кизлярском районе Республики Дагестан (забо</w:t>
      </w:r>
      <w:r>
        <w:t>лело 12 голов КРС), 1 - в Трубчевском районе Брянской области (заболело 3 головы КРС), 1 - в Кашарском районе Ростовской области (заболело 58 голов КРС), 1 - в Усть-Абаканском районе Республики Хакасия (заболело 14 голов КРС), 1</w:t>
      </w:r>
      <w:r>
        <w:tab/>
        <w:t>- в Белевском районе Тульск</w:t>
      </w:r>
      <w:r>
        <w:t>ой области</w:t>
      </w:r>
    </w:p>
    <w:p w:rsidR="0093269E" w:rsidRDefault="006C17F8">
      <w:pPr>
        <w:pStyle w:val="1"/>
        <w:spacing w:after="960"/>
        <w:ind w:firstLine="0"/>
        <w:jc w:val="both"/>
      </w:pPr>
      <w:r>
        <w:t>(заболела 1 голова КРС).</w:t>
      </w:r>
    </w:p>
    <w:p w:rsidR="0093269E" w:rsidRDefault="0093269E">
      <w:pPr>
        <w:spacing w:line="1" w:lineRule="exact"/>
      </w:pPr>
    </w:p>
    <w:sectPr w:rsidR="0093269E" w:rsidSect="00B21B1D">
      <w:type w:val="continuous"/>
      <w:pgSz w:w="11900" w:h="16840"/>
      <w:pgMar w:top="568" w:right="819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7F8" w:rsidRDefault="006C17F8">
      <w:r>
        <w:separator/>
      </w:r>
    </w:p>
  </w:endnote>
  <w:endnote w:type="continuationSeparator" w:id="0">
    <w:p w:rsidR="006C17F8" w:rsidRDefault="006C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7F8" w:rsidRDefault="006C17F8"/>
  </w:footnote>
  <w:footnote w:type="continuationSeparator" w:id="0">
    <w:p w:rsidR="006C17F8" w:rsidRDefault="006C17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028FA"/>
    <w:multiLevelType w:val="multilevel"/>
    <w:tmpl w:val="5E4ABD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9E"/>
    <w:rsid w:val="006C17F8"/>
    <w:rsid w:val="00822108"/>
    <w:rsid w:val="0093269E"/>
    <w:rsid w:val="00B2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B951"/>
  <w15:docId w15:val="{BA2F1CC5-C249-4383-AA40-131EBC92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7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ИКТ</cp:lastModifiedBy>
  <cp:revision>3</cp:revision>
  <dcterms:created xsi:type="dcterms:W3CDTF">2023-07-06T06:56:00Z</dcterms:created>
  <dcterms:modified xsi:type="dcterms:W3CDTF">2023-07-06T07:18:00Z</dcterms:modified>
</cp:coreProperties>
</file>