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4" w:rsidRDefault="003E3414">
      <w:pPr>
        <w:spacing w:line="360" w:lineRule="exact"/>
      </w:pPr>
    </w:p>
    <w:p w:rsidR="003E3414" w:rsidRDefault="003E3414">
      <w:pPr>
        <w:spacing w:after="363" w:line="1" w:lineRule="exact"/>
      </w:pPr>
    </w:p>
    <w:p w:rsidR="003E3414" w:rsidRDefault="00FF1A45" w:rsidP="00AA515E">
      <w:pPr>
        <w:pStyle w:val="1"/>
        <w:spacing w:after="960" w:line="240" w:lineRule="auto"/>
        <w:ind w:left="500" w:firstLine="60"/>
        <w:jc w:val="center"/>
      </w:pPr>
      <w:bookmarkStart w:id="0" w:name="_GoBack"/>
      <w:r>
        <w:t>Информация об эпизоотической ситуации в Российской Федерации по состоянию на 18 сентября 2022 г</w:t>
      </w:r>
      <w:r w:rsidR="00AA515E">
        <w:t>ода</w:t>
      </w:r>
    </w:p>
    <w:bookmarkEnd w:id="0"/>
    <w:p w:rsidR="003E3414" w:rsidRDefault="00FF1A45">
      <w:pPr>
        <w:pStyle w:val="1"/>
        <w:spacing w:line="264" w:lineRule="auto"/>
        <w:ind w:left="500" w:firstLine="760"/>
        <w:jc w:val="both"/>
      </w:pPr>
      <w:r>
        <w:t xml:space="preserve">По состоянию на 18 </w:t>
      </w:r>
      <w:r>
        <w:t>сентября 2022 г. на территории Российской Федерации произошли следующие изменения эпизоотической ситуации.</w:t>
      </w:r>
    </w:p>
    <w:p w:rsidR="003E3414" w:rsidRDefault="00FF1A45">
      <w:pPr>
        <w:pStyle w:val="1"/>
        <w:spacing w:line="240" w:lineRule="auto"/>
        <w:ind w:left="500" w:firstLine="760"/>
        <w:jc w:val="both"/>
      </w:pPr>
      <w:r>
        <w:rPr>
          <w:b/>
          <w:bCs/>
        </w:rPr>
        <w:t xml:space="preserve">13 и 15 сентября 2022 г. </w:t>
      </w:r>
      <w:r>
        <w:t xml:space="preserve">выявлен </w:t>
      </w:r>
      <w:r>
        <w:rPr>
          <w:b/>
          <w:bCs/>
        </w:rPr>
        <w:t xml:space="preserve">1 очаг африканской чумы свиней </w:t>
      </w:r>
      <w:r>
        <w:t xml:space="preserve">(далее - АЧС) и </w:t>
      </w:r>
      <w:r>
        <w:rPr>
          <w:b/>
          <w:bCs/>
        </w:rPr>
        <w:t>1 инфицированный АЧС объект</w:t>
      </w:r>
      <w:r>
        <w:t>, в том числе:</w:t>
      </w:r>
    </w:p>
    <w:p w:rsidR="003E3414" w:rsidRDefault="00FF1A45">
      <w:pPr>
        <w:pStyle w:val="1"/>
        <w:numPr>
          <w:ilvl w:val="0"/>
          <w:numId w:val="1"/>
        </w:numPr>
        <w:tabs>
          <w:tab w:val="left" w:pos="1975"/>
          <w:tab w:val="left" w:pos="1991"/>
        </w:tabs>
        <w:spacing w:line="276" w:lineRule="auto"/>
        <w:ind w:left="500" w:firstLine="760"/>
        <w:jc w:val="both"/>
      </w:pPr>
      <w:proofErr w:type="gramStart"/>
      <w:r>
        <w:t>1 очаг на территории Иванов</w:t>
      </w:r>
      <w:r>
        <w:t>ской области (среди домашних</w:t>
      </w:r>
      <w:proofErr w:type="gramEnd"/>
    </w:p>
    <w:p w:rsidR="003E3414" w:rsidRDefault="00FF1A45">
      <w:pPr>
        <w:pStyle w:val="1"/>
        <w:spacing w:line="276" w:lineRule="auto"/>
        <w:ind w:firstLine="500"/>
      </w:pPr>
      <w:r>
        <w:t>свиней на территории Кинешемского района);</w:t>
      </w:r>
    </w:p>
    <w:p w:rsidR="003E3414" w:rsidRDefault="00FF1A45">
      <w:pPr>
        <w:pStyle w:val="1"/>
        <w:numPr>
          <w:ilvl w:val="0"/>
          <w:numId w:val="1"/>
        </w:numPr>
        <w:tabs>
          <w:tab w:val="left" w:pos="1975"/>
          <w:tab w:val="left" w:pos="2014"/>
        </w:tabs>
        <w:spacing w:line="276" w:lineRule="auto"/>
        <w:ind w:left="1260" w:firstLine="0"/>
        <w:jc w:val="both"/>
      </w:pPr>
      <w:r>
        <w:t>1 инфицированный объект на территории Владимирской области</w:t>
      </w:r>
    </w:p>
    <w:p w:rsidR="003E3414" w:rsidRDefault="00FF1A45">
      <w:pPr>
        <w:pStyle w:val="1"/>
        <w:spacing w:line="276" w:lineRule="auto"/>
        <w:ind w:firstLine="500"/>
      </w:pPr>
      <w:r>
        <w:t>(среди диких кабанов на территории Александровского района).</w:t>
      </w:r>
    </w:p>
    <w:p w:rsidR="003E3414" w:rsidRDefault="00FF1A45">
      <w:pPr>
        <w:pStyle w:val="1"/>
        <w:spacing w:line="276" w:lineRule="auto"/>
        <w:ind w:left="1260" w:firstLine="0"/>
        <w:jc w:val="both"/>
      </w:pPr>
      <w:r>
        <w:t xml:space="preserve">Отменен карантин по </w:t>
      </w:r>
      <w:r>
        <w:rPr>
          <w:b/>
          <w:bCs/>
        </w:rPr>
        <w:t xml:space="preserve">АЧС </w:t>
      </w:r>
      <w:r>
        <w:t>на территории:</w:t>
      </w:r>
    </w:p>
    <w:p w:rsidR="003E3414" w:rsidRDefault="00FF1A45">
      <w:pPr>
        <w:pStyle w:val="1"/>
        <w:numPr>
          <w:ilvl w:val="0"/>
          <w:numId w:val="2"/>
        </w:numPr>
        <w:tabs>
          <w:tab w:val="left" w:pos="1961"/>
          <w:tab w:val="left" w:pos="1975"/>
          <w:tab w:val="left" w:pos="3781"/>
          <w:tab w:val="left" w:pos="4906"/>
          <w:tab w:val="left" w:pos="5371"/>
          <w:tab w:val="left" w:pos="9061"/>
        </w:tabs>
        <w:spacing w:line="276" w:lineRule="auto"/>
        <w:ind w:left="1260" w:firstLine="0"/>
        <w:jc w:val="both"/>
      </w:pPr>
      <w:r>
        <w:t>Воронежской</w:t>
      </w:r>
      <w:r>
        <w:tab/>
        <w:t>области</w:t>
      </w:r>
      <w:r>
        <w:tab/>
        <w:t>на</w:t>
      </w:r>
      <w:r>
        <w:tab/>
      </w:r>
      <w:r>
        <w:t>территории Новохоперского</w:t>
      </w:r>
      <w:r>
        <w:tab/>
        <w:t>района</w:t>
      </w:r>
    </w:p>
    <w:p w:rsidR="003E3414" w:rsidRDefault="00FF1A45">
      <w:pPr>
        <w:pStyle w:val="1"/>
        <w:spacing w:line="276" w:lineRule="auto"/>
        <w:ind w:firstLine="500"/>
      </w:pPr>
      <w:r>
        <w:t>(Указ Губернатора Воронежской области от 1 сентября 2022 г. №137-У);</w:t>
      </w:r>
    </w:p>
    <w:p w:rsidR="003E3414" w:rsidRDefault="00FF1A45">
      <w:pPr>
        <w:pStyle w:val="1"/>
        <w:numPr>
          <w:ilvl w:val="0"/>
          <w:numId w:val="2"/>
        </w:numPr>
        <w:tabs>
          <w:tab w:val="left" w:pos="1961"/>
          <w:tab w:val="left" w:pos="1975"/>
          <w:tab w:val="left" w:pos="3766"/>
          <w:tab w:val="left" w:pos="4925"/>
          <w:tab w:val="left" w:pos="5424"/>
          <w:tab w:val="left" w:pos="9054"/>
        </w:tabs>
        <w:spacing w:line="276" w:lineRule="auto"/>
        <w:ind w:left="1260" w:firstLine="0"/>
        <w:jc w:val="both"/>
      </w:pPr>
      <w:r>
        <w:t>Костромской</w:t>
      </w:r>
      <w:r>
        <w:tab/>
        <w:t>области</w:t>
      </w:r>
      <w:r>
        <w:tab/>
        <w:t>на</w:t>
      </w:r>
      <w:r>
        <w:tab/>
        <w:t xml:space="preserve">территории </w:t>
      </w:r>
      <w:proofErr w:type="spellStart"/>
      <w:r>
        <w:t>Антроповского</w:t>
      </w:r>
      <w:proofErr w:type="spellEnd"/>
      <w:r>
        <w:tab/>
        <w:t>района</w:t>
      </w:r>
    </w:p>
    <w:p w:rsidR="003E3414" w:rsidRDefault="00FF1A45">
      <w:pPr>
        <w:pStyle w:val="1"/>
        <w:spacing w:line="276" w:lineRule="auto"/>
        <w:ind w:left="500" w:firstLine="60"/>
        <w:jc w:val="both"/>
      </w:pPr>
      <w:proofErr w:type="gramStart"/>
      <w:r>
        <w:t xml:space="preserve">(постановление Губернатора Костромской области от 17 сентября 2022 г. № 208), </w:t>
      </w:r>
      <w:proofErr w:type="spellStart"/>
      <w:r>
        <w:t>Солигаличского</w:t>
      </w:r>
      <w:proofErr w:type="spellEnd"/>
      <w:r>
        <w:t xml:space="preserve"> района</w:t>
      </w:r>
      <w:r>
        <w:t xml:space="preserve"> (постановление Губернатора Костромской области от 14 сентября 2022 г. № 204), Чухломского района (постановления Губернатора Костромской области от 14 сентября 2022 г. № 206, № 205), </w:t>
      </w:r>
      <w:proofErr w:type="spellStart"/>
      <w:r>
        <w:t>Нерехтского</w:t>
      </w:r>
      <w:proofErr w:type="spellEnd"/>
      <w:r>
        <w:t xml:space="preserve"> района (постановление Губернатора Костромской области от 17 с</w:t>
      </w:r>
      <w:r>
        <w:t xml:space="preserve">ентября 2022 г. № 209), </w:t>
      </w:r>
      <w:proofErr w:type="spellStart"/>
      <w:r>
        <w:t>Парфеньевского</w:t>
      </w:r>
      <w:proofErr w:type="spellEnd"/>
      <w:r>
        <w:t xml:space="preserve"> муниципального округа (постановления Губернатора Костромской области от 9 сентября 2022 г. № 203</w:t>
      </w:r>
      <w:proofErr w:type="gramEnd"/>
      <w:r>
        <w:t xml:space="preserve">, № 202), городского округа </w:t>
      </w:r>
      <w:proofErr w:type="spellStart"/>
      <w:r>
        <w:t>Мантурово</w:t>
      </w:r>
      <w:proofErr w:type="spellEnd"/>
      <w:r>
        <w:t xml:space="preserve"> (постановление Губернатора Костромской области от 8 сентября 2022 г. № 201);</w:t>
      </w:r>
    </w:p>
    <w:p w:rsidR="003E3414" w:rsidRDefault="00FF1A45">
      <w:pPr>
        <w:pStyle w:val="1"/>
        <w:numPr>
          <w:ilvl w:val="0"/>
          <w:numId w:val="2"/>
        </w:numPr>
        <w:tabs>
          <w:tab w:val="left" w:pos="1981"/>
          <w:tab w:val="left" w:pos="2010"/>
          <w:tab w:val="left" w:pos="3118"/>
        </w:tabs>
        <w:ind w:left="560" w:firstLine="700"/>
        <w:jc w:val="both"/>
      </w:pPr>
      <w:proofErr w:type="gramStart"/>
      <w:r>
        <w:t>Респуб</w:t>
      </w:r>
      <w:r>
        <w:t xml:space="preserve">лики Северная Осетия-Алания на территории </w:t>
      </w:r>
      <w:proofErr w:type="spellStart"/>
      <w:r>
        <w:t>Алагирского</w:t>
      </w:r>
      <w:proofErr w:type="spellEnd"/>
      <w:r>
        <w:t xml:space="preserve"> района</w:t>
      </w:r>
      <w:r>
        <w:tab/>
        <w:t>(Указ</w:t>
      </w:r>
      <w:r>
        <w:tab/>
        <w:t>Главы Республики Северная Осетия-Алания</w:t>
      </w:r>
      <w:proofErr w:type="gramEnd"/>
    </w:p>
    <w:p w:rsidR="003E3414" w:rsidRDefault="00FF1A45">
      <w:pPr>
        <w:pStyle w:val="1"/>
        <w:ind w:firstLine="560"/>
        <w:jc w:val="both"/>
      </w:pPr>
      <w:r>
        <w:t>от 12 сентября 2022 г № 281);</w:t>
      </w:r>
    </w:p>
    <w:p w:rsidR="003E3414" w:rsidRDefault="00FF1A45">
      <w:pPr>
        <w:pStyle w:val="1"/>
        <w:numPr>
          <w:ilvl w:val="0"/>
          <w:numId w:val="2"/>
        </w:numPr>
        <w:tabs>
          <w:tab w:val="left" w:pos="1981"/>
        </w:tabs>
        <w:ind w:left="560" w:firstLine="700"/>
        <w:jc w:val="both"/>
      </w:pPr>
      <w:r>
        <w:t xml:space="preserve">Ульяновской области на территории </w:t>
      </w:r>
      <w:proofErr w:type="spellStart"/>
      <w:r>
        <w:t>Старомайнского</w:t>
      </w:r>
      <w:proofErr w:type="spellEnd"/>
      <w:r>
        <w:t xml:space="preserve"> района (Указы Губернатора Ульяновской области от 13 сентября 2022 г. №</w:t>
      </w:r>
      <w:r>
        <w:t>115 и от 15 сентября 2022 г. № 117).</w:t>
      </w:r>
    </w:p>
    <w:p w:rsidR="003E3414" w:rsidRDefault="00FF1A45">
      <w:pPr>
        <w:pStyle w:val="1"/>
        <w:numPr>
          <w:ilvl w:val="0"/>
          <w:numId w:val="3"/>
        </w:numPr>
        <w:tabs>
          <w:tab w:val="left" w:pos="1569"/>
          <w:tab w:val="left" w:pos="2475"/>
        </w:tabs>
        <w:ind w:left="560" w:firstLine="700"/>
        <w:jc w:val="both"/>
      </w:pPr>
      <w:r>
        <w:t xml:space="preserve">режиме карантина по АЧС среди домашних свиней </w:t>
      </w:r>
      <w:r>
        <w:rPr>
          <w:b/>
          <w:bCs/>
        </w:rPr>
        <w:t xml:space="preserve">находятся 37 очагов: </w:t>
      </w:r>
      <w:r>
        <w:t>по 1</w:t>
      </w:r>
      <w:r>
        <w:tab/>
        <w:t xml:space="preserve">- в </w:t>
      </w:r>
      <w:proofErr w:type="gramStart"/>
      <w:r>
        <w:t>Вологодской</w:t>
      </w:r>
      <w:proofErr w:type="gramEnd"/>
      <w:r>
        <w:t>, Орловской, Владимирской, Калужской,</w:t>
      </w:r>
    </w:p>
    <w:p w:rsidR="003E3414" w:rsidRDefault="00FF1A45">
      <w:pPr>
        <w:pStyle w:val="1"/>
        <w:tabs>
          <w:tab w:val="left" w:pos="7990"/>
        </w:tabs>
        <w:ind w:left="560" w:firstLine="0"/>
        <w:jc w:val="both"/>
      </w:pPr>
      <w:proofErr w:type="gramStart"/>
      <w:r>
        <w:t xml:space="preserve">Костромской, Московской, Оренбургской, Ростовской, Пензенской областях, Ставропольском крае, </w:t>
      </w:r>
      <w:r>
        <w:t>Республике Марий Эл, по 2</w:t>
      </w:r>
      <w:r>
        <w:tab/>
        <w:t>- в Тверской</w:t>
      </w:r>
      <w:proofErr w:type="gramEnd"/>
    </w:p>
    <w:p w:rsidR="003E3414" w:rsidRDefault="00FF1A45">
      <w:pPr>
        <w:pStyle w:val="1"/>
        <w:ind w:left="560" w:firstLine="0"/>
        <w:jc w:val="both"/>
      </w:pPr>
      <w:proofErr w:type="gramStart"/>
      <w:r>
        <w:t xml:space="preserve">и Ярославской областях, 3 - в Волгоградской области, 5 - в Ивановской области, 6 - в Республике Татарстан, 8 - в Калининградской, а также </w:t>
      </w:r>
      <w:r>
        <w:rPr>
          <w:b/>
          <w:bCs/>
        </w:rPr>
        <w:t xml:space="preserve">14 инфицированных АЧС объектов: </w:t>
      </w:r>
      <w:r>
        <w:t xml:space="preserve">по 1 - в Калужской, Калининградской, </w:t>
      </w:r>
      <w:r>
        <w:lastRenderedPageBreak/>
        <w:t>Московской</w:t>
      </w:r>
      <w:r>
        <w:t>, Тверской областях и Республике Марий Эл, 2 - во Владимирской области, 3 - в Орловской области, 4 - в Ивановской области.</w:t>
      </w:r>
      <w:proofErr w:type="gramEnd"/>
    </w:p>
    <w:p w:rsidR="003E3414" w:rsidRDefault="00FF1A45">
      <w:pPr>
        <w:pStyle w:val="1"/>
        <w:ind w:left="560" w:firstLine="700"/>
        <w:jc w:val="both"/>
      </w:pPr>
      <w:proofErr w:type="gramStart"/>
      <w:r>
        <w:t xml:space="preserve">В дикой фауне в режиме карантина по АЧС </w:t>
      </w:r>
      <w:r>
        <w:rPr>
          <w:b/>
          <w:bCs/>
        </w:rPr>
        <w:t xml:space="preserve">находятся 19 очагов: </w:t>
      </w:r>
      <w:r>
        <w:t xml:space="preserve">по 1 - во Владимирской, Ивановской и Новгородской областях, по 2 - в Костромской, Ярославской и Нижегородской областях, 3 - в Республике Татарстан, 7 - в Калининградской области, а также </w:t>
      </w:r>
      <w:r>
        <w:rPr>
          <w:b/>
          <w:bCs/>
        </w:rPr>
        <w:t xml:space="preserve">9 инфицированных АЧС объектов: </w:t>
      </w:r>
      <w:r>
        <w:t>по 1 - в Московской, Владимирской, и О</w:t>
      </w:r>
      <w:r>
        <w:t>рловской областях, по 3 - в Калининградской и Костромской областях.</w:t>
      </w:r>
      <w:proofErr w:type="gramEnd"/>
    </w:p>
    <w:p w:rsidR="003E3414" w:rsidRDefault="00FF1A45">
      <w:pPr>
        <w:pStyle w:val="1"/>
        <w:ind w:left="560" w:firstLine="700"/>
        <w:jc w:val="both"/>
      </w:pPr>
      <w:r>
        <w:t xml:space="preserve">Отменен карантин по </w:t>
      </w:r>
      <w:proofErr w:type="spellStart"/>
      <w:r>
        <w:rPr>
          <w:b/>
          <w:bCs/>
        </w:rPr>
        <w:t>высокопатогенному</w:t>
      </w:r>
      <w:proofErr w:type="spellEnd"/>
      <w:r>
        <w:rPr>
          <w:b/>
          <w:bCs/>
        </w:rPr>
        <w:t xml:space="preserve"> гриппу птиц </w:t>
      </w:r>
      <w:r>
        <w:t>(далее - ВГП) на территории:</w:t>
      </w:r>
    </w:p>
    <w:p w:rsidR="003E3414" w:rsidRDefault="00FF1A45">
      <w:pPr>
        <w:pStyle w:val="1"/>
        <w:numPr>
          <w:ilvl w:val="0"/>
          <w:numId w:val="4"/>
        </w:numPr>
        <w:tabs>
          <w:tab w:val="left" w:pos="1981"/>
          <w:tab w:val="left" w:pos="1995"/>
          <w:tab w:val="left" w:pos="4472"/>
          <w:tab w:val="left" w:pos="6666"/>
          <w:tab w:val="left" w:pos="8970"/>
        </w:tabs>
        <w:ind w:left="560" w:firstLine="700"/>
        <w:jc w:val="both"/>
      </w:pPr>
      <w:proofErr w:type="gramStart"/>
      <w:r>
        <w:t xml:space="preserve">Белгородской области на территории </w:t>
      </w:r>
      <w:proofErr w:type="spellStart"/>
      <w:r>
        <w:t>Губкинского</w:t>
      </w:r>
      <w:proofErr w:type="spellEnd"/>
      <w:r>
        <w:t xml:space="preserve"> городского округа</w:t>
      </w:r>
      <w:r>
        <w:tab/>
        <w:t>(постановление</w:t>
      </w:r>
      <w:r>
        <w:tab/>
        <w:t>Губернатора</w:t>
      </w:r>
      <w:r>
        <w:tab/>
        <w:t>Белгородской</w:t>
      </w:r>
      <w:r>
        <w:tab/>
        <w:t>обла</w:t>
      </w:r>
      <w:r>
        <w:t>сти</w:t>
      </w:r>
      <w:proofErr w:type="gramEnd"/>
    </w:p>
    <w:p w:rsidR="003E3414" w:rsidRDefault="00FF1A45">
      <w:pPr>
        <w:pStyle w:val="1"/>
        <w:ind w:firstLine="560"/>
        <w:jc w:val="both"/>
      </w:pPr>
      <w:r>
        <w:t>от 6 сентября 2022 г. № 146);</w:t>
      </w:r>
    </w:p>
    <w:p w:rsidR="003E3414" w:rsidRDefault="00FF1A45">
      <w:pPr>
        <w:pStyle w:val="1"/>
        <w:numPr>
          <w:ilvl w:val="0"/>
          <w:numId w:val="4"/>
        </w:numPr>
        <w:tabs>
          <w:tab w:val="left" w:pos="1981"/>
        </w:tabs>
        <w:ind w:left="560" w:firstLine="700"/>
        <w:jc w:val="both"/>
      </w:pPr>
      <w:r>
        <w:t xml:space="preserve">Самарской области на территории </w:t>
      </w:r>
      <w:proofErr w:type="spellStart"/>
      <w:r>
        <w:t>Шигонского</w:t>
      </w:r>
      <w:proofErr w:type="spellEnd"/>
      <w:r>
        <w:t xml:space="preserve"> района (Постановление Губернатора Самарской области от 13 сентября 2022 г. № 264), </w:t>
      </w:r>
      <w:proofErr w:type="spellStart"/>
      <w:r>
        <w:t>Шенталинского</w:t>
      </w:r>
      <w:proofErr w:type="spellEnd"/>
      <w:r>
        <w:t xml:space="preserve"> района (Постановления Губернатора Самарской области от 13 сентября 2022 г. № 263, </w:t>
      </w:r>
      <w:r>
        <w:t xml:space="preserve">№ 262, № 261), </w:t>
      </w:r>
      <w:proofErr w:type="spellStart"/>
      <w:r>
        <w:t>Исаклинского</w:t>
      </w:r>
      <w:proofErr w:type="spellEnd"/>
      <w:r>
        <w:t xml:space="preserve"> района (Постановления Губернатора Самарской области от 13 сентября 2022 г. № 260, № 265).</w:t>
      </w:r>
    </w:p>
    <w:p w:rsidR="00AA515E" w:rsidRDefault="00FF1A45" w:rsidP="00AA515E">
      <w:pPr>
        <w:pStyle w:val="1"/>
        <w:ind w:left="560" w:firstLine="700"/>
        <w:jc w:val="both"/>
      </w:pPr>
      <w:r>
        <w:t xml:space="preserve">В режиме карантина по </w:t>
      </w:r>
      <w:r>
        <w:rPr>
          <w:b/>
          <w:bCs/>
        </w:rPr>
        <w:t xml:space="preserve">ВГП </w:t>
      </w:r>
      <w:r>
        <w:t xml:space="preserve">находятся </w:t>
      </w:r>
      <w:r>
        <w:rPr>
          <w:b/>
          <w:bCs/>
        </w:rPr>
        <w:t xml:space="preserve">8 очагов: </w:t>
      </w:r>
      <w:r>
        <w:t>по 1 - в Белгородской, Челябинской, Самарской и Ивановской областях, по 2 - в Ростовской, Са</w:t>
      </w:r>
      <w:r>
        <w:t>ратовской областях.</w:t>
      </w:r>
    </w:p>
    <w:p w:rsidR="003E3414" w:rsidRDefault="00FF1A45" w:rsidP="00AA515E">
      <w:pPr>
        <w:pStyle w:val="1"/>
        <w:ind w:left="560" w:firstLine="700"/>
        <w:jc w:val="both"/>
      </w:pPr>
      <w:r>
        <w:t xml:space="preserve">Выявлен </w:t>
      </w:r>
      <w:r>
        <w:rPr>
          <w:b/>
          <w:bCs/>
        </w:rPr>
        <w:t xml:space="preserve">1 очаг бруцеллеза </w:t>
      </w:r>
      <w:r>
        <w:t xml:space="preserve">животных в Республике Дагестан на территории </w:t>
      </w:r>
      <w:proofErr w:type="spellStart"/>
      <w:r>
        <w:t>Унцукульского</w:t>
      </w:r>
      <w:proofErr w:type="spellEnd"/>
      <w:r>
        <w:t xml:space="preserve"> района (заболело 2 головы крупного рогатого скота).</w:t>
      </w:r>
    </w:p>
    <w:p w:rsidR="003E3414" w:rsidRDefault="003E3414">
      <w:pPr>
        <w:spacing w:line="1" w:lineRule="exact"/>
        <w:sectPr w:rsidR="003E3414" w:rsidSect="00AA515E">
          <w:headerReference w:type="default" r:id="rId8"/>
          <w:headerReference w:type="first" r:id="rId9"/>
          <w:type w:val="continuous"/>
          <w:pgSz w:w="11900" w:h="16840"/>
          <w:pgMar w:top="709" w:right="809" w:bottom="1231" w:left="1132" w:header="0" w:footer="3" w:gutter="0"/>
          <w:cols w:space="720"/>
          <w:noEndnote/>
          <w:docGrid w:linePitch="360"/>
        </w:sectPr>
      </w:pPr>
    </w:p>
    <w:p w:rsidR="003E3414" w:rsidRDefault="003E3414">
      <w:pPr>
        <w:spacing w:line="240" w:lineRule="exact"/>
        <w:rPr>
          <w:sz w:val="19"/>
          <w:szCs w:val="19"/>
        </w:rPr>
      </w:pPr>
    </w:p>
    <w:p w:rsidR="003E3414" w:rsidRDefault="003E3414">
      <w:pPr>
        <w:spacing w:line="240" w:lineRule="exact"/>
        <w:rPr>
          <w:sz w:val="19"/>
          <w:szCs w:val="19"/>
        </w:rPr>
      </w:pPr>
    </w:p>
    <w:p w:rsidR="003E3414" w:rsidRDefault="003E3414">
      <w:pPr>
        <w:spacing w:line="240" w:lineRule="exact"/>
        <w:rPr>
          <w:sz w:val="19"/>
          <w:szCs w:val="19"/>
        </w:rPr>
      </w:pPr>
    </w:p>
    <w:p w:rsidR="003E3414" w:rsidRDefault="003E3414">
      <w:pPr>
        <w:spacing w:line="240" w:lineRule="exact"/>
        <w:rPr>
          <w:sz w:val="19"/>
          <w:szCs w:val="19"/>
        </w:rPr>
      </w:pPr>
    </w:p>
    <w:p w:rsidR="003E3414" w:rsidRDefault="003E3414">
      <w:pPr>
        <w:spacing w:line="240" w:lineRule="exact"/>
        <w:rPr>
          <w:sz w:val="19"/>
          <w:szCs w:val="19"/>
        </w:rPr>
      </w:pPr>
    </w:p>
    <w:p w:rsidR="003E3414" w:rsidRDefault="003E3414">
      <w:pPr>
        <w:spacing w:line="240" w:lineRule="exact"/>
        <w:rPr>
          <w:sz w:val="19"/>
          <w:szCs w:val="19"/>
        </w:rPr>
      </w:pPr>
    </w:p>
    <w:p w:rsidR="003E3414" w:rsidRDefault="003E3414">
      <w:pPr>
        <w:spacing w:line="240" w:lineRule="exact"/>
        <w:rPr>
          <w:sz w:val="19"/>
          <w:szCs w:val="19"/>
        </w:rPr>
      </w:pPr>
    </w:p>
    <w:p w:rsidR="003E3414" w:rsidRDefault="003E3414">
      <w:pPr>
        <w:spacing w:before="88" w:after="88" w:line="240" w:lineRule="exact"/>
        <w:rPr>
          <w:sz w:val="19"/>
          <w:szCs w:val="19"/>
        </w:rPr>
      </w:pPr>
    </w:p>
    <w:sectPr w:rsidR="003E3414" w:rsidSect="00AA515E">
      <w:type w:val="continuous"/>
      <w:pgSz w:w="11900" w:h="16840"/>
      <w:pgMar w:top="1275" w:right="701" w:bottom="1232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45" w:rsidRDefault="00FF1A45">
      <w:r>
        <w:separator/>
      </w:r>
    </w:p>
  </w:endnote>
  <w:endnote w:type="continuationSeparator" w:id="0">
    <w:p w:rsidR="00FF1A45" w:rsidRDefault="00FF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45" w:rsidRDefault="00FF1A45"/>
  </w:footnote>
  <w:footnote w:type="continuationSeparator" w:id="0">
    <w:p w:rsidR="00FF1A45" w:rsidRDefault="00FF1A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14" w:rsidRDefault="00FF1A4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76879E6A" wp14:editId="4BD5323B">
              <wp:simplePos x="0" y="0"/>
              <wp:positionH relativeFrom="page">
                <wp:posOffset>4007485</wp:posOffset>
              </wp:positionH>
              <wp:positionV relativeFrom="page">
                <wp:posOffset>504825</wp:posOffset>
              </wp:positionV>
              <wp:extent cx="79375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3414" w:rsidRDefault="003E3414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5.55pt;margin-top:39.75pt;width:6.25pt;height:9.6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" filled="f" stroked="f">
              <v:textbox style="mso-fit-shape-to-text:t" inset="0,0,0,0">
                <w:txbxContent>
                  <w:p w:rsidR="003E3414" w:rsidRDefault="003E3414">
                    <w:pPr>
                      <w:pStyle w:val="2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14" w:rsidRDefault="003E341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0201"/>
    <w:multiLevelType w:val="multilevel"/>
    <w:tmpl w:val="40960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423470"/>
    <w:multiLevelType w:val="multilevel"/>
    <w:tmpl w:val="CA8AB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91AC5"/>
    <w:multiLevelType w:val="multilevel"/>
    <w:tmpl w:val="78CA687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3003E"/>
    <w:multiLevelType w:val="multilevel"/>
    <w:tmpl w:val="CC289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E3414"/>
    <w:rsid w:val="003E3414"/>
    <w:rsid w:val="00AA515E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ahoma" w:eastAsia="Tahoma" w:hAnsi="Tahoma" w:cs="Tahoma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1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15E"/>
    <w:rPr>
      <w:color w:val="000000"/>
    </w:rPr>
  </w:style>
  <w:style w:type="paragraph" w:styleId="a8">
    <w:name w:val="footer"/>
    <w:basedOn w:val="a"/>
    <w:link w:val="a9"/>
    <w:uiPriority w:val="99"/>
    <w:unhideWhenUsed/>
    <w:rsid w:val="00AA51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515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ahoma" w:eastAsia="Tahoma" w:hAnsi="Tahoma" w:cs="Tahoma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1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15E"/>
    <w:rPr>
      <w:color w:val="000000"/>
    </w:rPr>
  </w:style>
  <w:style w:type="paragraph" w:styleId="a8">
    <w:name w:val="footer"/>
    <w:basedOn w:val="a"/>
    <w:link w:val="a9"/>
    <w:uiPriority w:val="99"/>
    <w:unhideWhenUsed/>
    <w:rsid w:val="00AA51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51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2022-09-20T17:55:00Z</dcterms:created>
  <dcterms:modified xsi:type="dcterms:W3CDTF">2022-09-20T18:00:00Z</dcterms:modified>
</cp:coreProperties>
</file>