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7" w:rsidRDefault="0048272D">
      <w:pPr>
        <w:pStyle w:val="a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</w:t>
      </w:r>
    </w:p>
    <w:p w:rsidR="00D17737" w:rsidRDefault="00D17737">
      <w:pPr>
        <w:pStyle w:val="a1"/>
        <w:rPr>
          <w:rFonts w:ascii="Times New Roman" w:hAnsi="Times New Roman"/>
          <w:szCs w:val="28"/>
        </w:rPr>
      </w:pPr>
    </w:p>
    <w:p w:rsidR="00D17737" w:rsidRDefault="0048272D">
      <w:pPr>
        <w:rPr>
          <w:rFonts w:ascii="Times New Roman" w:eastAsia="Times New Roman" w:hAnsi="Times New Roman" w:cs="Times New Roman"/>
          <w:color w:val="000000"/>
          <w:kern w:val="0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zh-CN" w:bidi="ar-SA"/>
        </w:rPr>
        <w:t xml:space="preserve">Сведения об оказываемых 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eastAsia="zh-CN" w:bidi="ar-SA"/>
        </w:rPr>
        <w:t>муниципальных услугах</w:t>
      </w:r>
      <w:r w:rsidR="00F54888">
        <w:rPr>
          <w:rFonts w:ascii="Times New Roman" w:eastAsia="Times New Roman" w:hAnsi="Times New Roman" w:cs="Times New Roman"/>
          <w:color w:val="000000"/>
          <w:kern w:val="0"/>
          <w:szCs w:val="28"/>
          <w:lang w:eastAsia="zh-CN" w:bidi="ar-SA"/>
        </w:rPr>
        <w:t xml:space="preserve"> Залегощенского района Орловской области</w:t>
      </w:r>
    </w:p>
    <w:p w:rsidR="00E94272" w:rsidRDefault="00E94272">
      <w:pPr>
        <w:rPr>
          <w:rFonts w:ascii="Times New Roman" w:hAnsi="Times New Roman"/>
          <w:szCs w:val="28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376"/>
        <w:gridCol w:w="10915"/>
      </w:tblGrid>
      <w:tr w:rsidR="00E94272" w:rsidRPr="00AF463D" w:rsidTr="00E94272">
        <w:tc>
          <w:tcPr>
            <w:tcW w:w="735" w:type="dxa"/>
          </w:tcPr>
          <w:p w:rsidR="00E94272" w:rsidRPr="00AF463D" w:rsidRDefault="00E94272">
            <w:pPr>
              <w:pStyle w:val="afff8"/>
              <w:rPr>
                <w:rFonts w:ascii="Times New Roman" w:hAnsi="Times New Roman"/>
                <w:sz w:val="22"/>
                <w:szCs w:val="22"/>
              </w:rPr>
            </w:pPr>
            <w:r w:rsidRPr="00AF463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AF463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F463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376" w:type="dxa"/>
          </w:tcPr>
          <w:p w:rsidR="00E94272" w:rsidRPr="00AF463D" w:rsidRDefault="00E94272">
            <w:pPr>
              <w:pStyle w:val="afff8"/>
              <w:rPr>
                <w:rFonts w:ascii="Times New Roman" w:hAnsi="Times New Roman"/>
                <w:sz w:val="22"/>
                <w:szCs w:val="22"/>
              </w:rPr>
            </w:pPr>
            <w:r w:rsidRPr="00AF463D">
              <w:rPr>
                <w:rFonts w:ascii="Times New Roman" w:hAnsi="Times New Roman"/>
                <w:sz w:val="22"/>
                <w:szCs w:val="22"/>
              </w:rPr>
              <w:t>Наименование органа (организации), оказывающего услуг</w:t>
            </w:r>
          </w:p>
        </w:tc>
        <w:tc>
          <w:tcPr>
            <w:tcW w:w="10915" w:type="dxa"/>
          </w:tcPr>
          <w:p w:rsidR="00E94272" w:rsidRPr="00AF463D" w:rsidRDefault="00E94272">
            <w:pPr>
              <w:pStyle w:val="afff8"/>
              <w:rPr>
                <w:rFonts w:ascii="Times New Roman" w:hAnsi="Times New Roman"/>
                <w:sz w:val="22"/>
                <w:szCs w:val="22"/>
              </w:rPr>
            </w:pPr>
            <w:r w:rsidRPr="00AF463D">
              <w:rPr>
                <w:rFonts w:ascii="Times New Roman" w:hAnsi="Times New Roman"/>
                <w:sz w:val="22"/>
                <w:szCs w:val="22"/>
              </w:rPr>
              <w:t>Наименование услуги согласно утвержденному административному регламенту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:rsidR="00E94272" w:rsidRPr="00A02860" w:rsidRDefault="00E94272" w:rsidP="00F54888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F54888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F54888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воспитания (детские сады)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Зачисление в муниципальное образовательное учреждение</w:t>
            </w:r>
          </w:p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BB52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Организация отдыха и оздоровления детей в каникулярное время в оздоровительных лагерях с дневным пребыванием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«Социальная поддержка и социальное обслуживание детей-сирот, безнадзорных детей, оставшихся без попечения родителей»</w:t>
            </w:r>
          </w:p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8D0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малолетние, несовершеннолетние, лица признанные в установленном законом порядке недееспособными</w:t>
            </w:r>
          </w:p>
          <w:p w:rsidR="00E94272" w:rsidRPr="00A02860" w:rsidRDefault="00E94272" w:rsidP="008D02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совершение сделок с имуществом несовершеннолетних, совершеннолетних недееспособных и ограниченно дееспособных граждан</w:t>
            </w:r>
          </w:p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Орловской области и включенных в единый государственный реестр объектов культурного наследия (памятников истории и культуры)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B50D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Перевод  жилых помещений (зданий) в не жилые помещения (здания) и нежилых   помещений (зданий)  в жилые помещения (здания)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 разрешения   на 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поселении Залегощенского рациона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градостроительных планов земельных участков для индивидуального, малоэтажного жилищного строительства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 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</w:t>
            </w:r>
          </w:p>
        </w:tc>
      </w:tr>
      <w:tr w:rsidR="00E94272" w:rsidRPr="00A02860" w:rsidTr="00E94272">
        <w:trPr>
          <w:trHeight w:val="642"/>
        </w:trPr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E94272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910D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910D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E94272" w:rsidRDefault="00E94272" w:rsidP="00E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272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</w:t>
            </w:r>
            <w:r w:rsidRPr="00E94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4272">
              <w:rPr>
                <w:rFonts w:ascii="Times New Roman" w:hAnsi="Times New Roman" w:cs="Times New Roman"/>
                <w:sz w:val="20"/>
                <w:szCs w:val="20"/>
              </w:rPr>
              <w:t>садового дома на</w:t>
            </w:r>
            <w:proofErr w:type="gramEnd"/>
            <w:r w:rsidRPr="00E9427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земельном </w:t>
            </w:r>
            <w:proofErr w:type="gramStart"/>
            <w:r w:rsidRPr="00E94272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Утверждение схемы расположения земельного  участка или земельных участков на кадастровом плане территории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объекта нежилого фонда, прочего недвижимого и движимого имущества, находящегося в муниципальной собственности, по результатам проведения торгов на право заключения договора аренды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</w:t>
            </w:r>
            <w:proofErr w:type="gramStart"/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proofErr w:type="gramEnd"/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не разграничена, расположенных в границах муниципального образования Залегощенский район Орловской области, для его комплексного освоения в целях жилищного строительства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 w:rsidP="002C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Выдача документов (копии финансово-лицевого счета, выписка из домовой книги, карточки учета собственника жилого помещения, справок и иных документов)</w:t>
            </w:r>
          </w:p>
        </w:tc>
      </w:tr>
      <w:tr w:rsidR="00E94272" w:rsidRPr="00A02860" w:rsidTr="00E94272">
        <w:tc>
          <w:tcPr>
            <w:tcW w:w="735" w:type="dxa"/>
          </w:tcPr>
          <w:p w:rsidR="00E94272" w:rsidRPr="00A02860" w:rsidRDefault="00E94272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376" w:type="dxa"/>
          </w:tcPr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 xml:space="preserve">Залегощенского района </w:t>
            </w:r>
          </w:p>
          <w:p w:rsidR="00E94272" w:rsidRPr="00A02860" w:rsidRDefault="00E94272" w:rsidP="00E34B4C">
            <w:pPr>
              <w:pStyle w:val="afff8"/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Орловской области</w:t>
            </w:r>
          </w:p>
        </w:tc>
        <w:tc>
          <w:tcPr>
            <w:tcW w:w="10915" w:type="dxa"/>
            <w:vAlign w:val="center"/>
          </w:tcPr>
          <w:p w:rsidR="00E94272" w:rsidRPr="00A02860" w:rsidRDefault="00E94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2860">
              <w:rPr>
                <w:rFonts w:ascii="Times New Roman" w:hAnsi="Times New Roman" w:cs="Times New Roman"/>
                <w:sz w:val="22"/>
                <w:szCs w:val="22"/>
              </w:rPr>
              <w:t>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</w:t>
            </w:r>
          </w:p>
        </w:tc>
      </w:tr>
    </w:tbl>
    <w:p w:rsidR="00D17737" w:rsidRDefault="00D17737">
      <w:pPr>
        <w:pStyle w:val="a1"/>
        <w:rPr>
          <w:rFonts w:ascii="Times New Roman" w:hAnsi="Times New Roman"/>
          <w:szCs w:val="28"/>
        </w:rPr>
      </w:pPr>
      <w:bookmarkStart w:id="0" w:name="_GoBack"/>
      <w:bookmarkEnd w:id="0"/>
    </w:p>
    <w:sectPr w:rsidR="00D17737" w:rsidSect="00E94272">
      <w:pgSz w:w="16838" w:h="11906" w:orient="landscape"/>
      <w:pgMar w:top="284" w:right="567" w:bottom="28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17737"/>
    <w:rsid w:val="001022BC"/>
    <w:rsid w:val="001608E1"/>
    <w:rsid w:val="00163AF8"/>
    <w:rsid w:val="0027799E"/>
    <w:rsid w:val="002A4B48"/>
    <w:rsid w:val="002C23E6"/>
    <w:rsid w:val="002C38CC"/>
    <w:rsid w:val="003359ED"/>
    <w:rsid w:val="003944B8"/>
    <w:rsid w:val="0039731A"/>
    <w:rsid w:val="0048272D"/>
    <w:rsid w:val="005828AE"/>
    <w:rsid w:val="00624C41"/>
    <w:rsid w:val="00705BC3"/>
    <w:rsid w:val="00751CA2"/>
    <w:rsid w:val="007E00AD"/>
    <w:rsid w:val="008D02E5"/>
    <w:rsid w:val="008F367C"/>
    <w:rsid w:val="00910D2F"/>
    <w:rsid w:val="00A02860"/>
    <w:rsid w:val="00AF463D"/>
    <w:rsid w:val="00B50DCA"/>
    <w:rsid w:val="00BA2317"/>
    <w:rsid w:val="00BB5245"/>
    <w:rsid w:val="00BC308A"/>
    <w:rsid w:val="00BD5CCA"/>
    <w:rsid w:val="00C469C1"/>
    <w:rsid w:val="00C73FB5"/>
    <w:rsid w:val="00C95392"/>
    <w:rsid w:val="00D17737"/>
    <w:rsid w:val="00E34B4C"/>
    <w:rsid w:val="00E94272"/>
    <w:rsid w:val="00EE4BA5"/>
    <w:rsid w:val="00F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7462510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48AE-9C5F-4A17-A3B9-72358284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Reanimator Extreme Edition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ЗАЛЕГОЩЬ</cp:lastModifiedBy>
  <cp:revision>33</cp:revision>
  <cp:lastPrinted>2021-07-12T12:10:00Z</cp:lastPrinted>
  <dcterms:created xsi:type="dcterms:W3CDTF">2021-07-09T15:28:00Z</dcterms:created>
  <dcterms:modified xsi:type="dcterms:W3CDTF">2021-11-22T08:12:00Z</dcterms:modified>
  <dc:language>ru-RU</dc:language>
</cp:coreProperties>
</file>