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C7" w:rsidRDefault="00C934C7" w:rsidP="00C934C7">
      <w:pPr>
        <w:pStyle w:val="ds-markdown-paragraph"/>
        <w:jc w:val="center"/>
      </w:pPr>
      <w:bookmarkStart w:id="0" w:name="_GoBack"/>
      <w:bookmarkEnd w:id="0"/>
      <w:r>
        <w:rPr>
          <w:rStyle w:val="a3"/>
        </w:rPr>
        <w:t>Единый налоговый счет в 2026 году: обновленные правила и новые риски для бизнеса</w:t>
      </w:r>
    </w:p>
    <w:p w:rsidR="00C934C7" w:rsidRPr="00C934C7" w:rsidRDefault="00C934C7" w:rsidP="00C934C7">
      <w:pPr>
        <w:pStyle w:val="ds-markdown-paragraph"/>
        <w:spacing w:before="0" w:beforeAutospacing="0" w:after="0" w:afterAutospacing="0"/>
        <w:ind w:firstLine="709"/>
        <w:jc w:val="both"/>
      </w:pPr>
      <w:r w:rsidRPr="00C934C7">
        <w:t xml:space="preserve">С 1 января 2026 года в механизм Единого налогового счета (ЕНС) внесены существенные изменения. Нововведения затронули как порядок пополнения счета, так и процедуры зачета переплат, а также взаимодействие с налоговыми органами. Эти изменения требуют от налогоплательщиков оперативной корректировки </w:t>
      </w:r>
      <w:proofErr w:type="spellStart"/>
      <w:r w:rsidRPr="00C934C7">
        <w:t>внутренших</w:t>
      </w:r>
      <w:proofErr w:type="spellEnd"/>
      <w:r w:rsidRPr="00C934C7">
        <w:t xml:space="preserve"> регламентов и повышенного внимания к контролю за состоянием счета, чтобы избежать штрафных санкций и необоснованных потерь.</w:t>
      </w:r>
    </w:p>
    <w:p w:rsidR="00C934C7" w:rsidRPr="00C934C7" w:rsidRDefault="00C934C7" w:rsidP="00C934C7">
      <w:pPr>
        <w:pStyle w:val="ds-markdown-paragraph"/>
        <w:spacing w:before="0" w:beforeAutospacing="0" w:after="0" w:afterAutospacing="0"/>
        <w:ind w:firstLine="709"/>
        <w:jc w:val="both"/>
      </w:pPr>
      <w:r w:rsidRPr="00C934C7">
        <w:t xml:space="preserve">Эксперт </w:t>
      </w:r>
      <w:proofErr w:type="spellStart"/>
      <w:r w:rsidRPr="00C934C7">
        <w:rPr>
          <w:rStyle w:val="a3"/>
          <w:b w:val="0"/>
        </w:rPr>
        <w:t>Кожанчиков</w:t>
      </w:r>
      <w:proofErr w:type="spellEnd"/>
      <w:r w:rsidRPr="00C934C7">
        <w:rPr>
          <w:rStyle w:val="a3"/>
          <w:b w:val="0"/>
        </w:rPr>
        <w:t xml:space="preserve"> Олег, кандидат экономических наук, доцент кафедры экономики и экономической безопасности Среднерусского института управления – филиала </w:t>
      </w:r>
      <w:proofErr w:type="spellStart"/>
      <w:r w:rsidRPr="00C934C7">
        <w:rPr>
          <w:rStyle w:val="a3"/>
          <w:b w:val="0"/>
        </w:rPr>
        <w:t>РАНХиГС</w:t>
      </w:r>
      <w:proofErr w:type="spellEnd"/>
      <w:r w:rsidRPr="00C934C7">
        <w:rPr>
          <w:rStyle w:val="a3"/>
          <w:b w:val="0"/>
        </w:rPr>
        <w:t xml:space="preserve"> </w:t>
      </w:r>
      <w:r w:rsidRPr="00C934C7">
        <w:t>разбирает три ключевые новации, с которыми компании и индивидуальные предприниматели сталкиваются в 2026 году, и дает практические рекомендации.</w:t>
      </w:r>
    </w:p>
    <w:p w:rsidR="00C934C7" w:rsidRPr="00C934C7" w:rsidRDefault="00C934C7" w:rsidP="00C934C7">
      <w:pPr>
        <w:pStyle w:val="ds-markdown-paragraph"/>
        <w:spacing w:before="0" w:beforeAutospacing="0" w:after="0" w:afterAutospacing="0"/>
        <w:ind w:firstLine="709"/>
        <w:jc w:val="both"/>
      </w:pPr>
      <w:r w:rsidRPr="00C934C7">
        <w:rPr>
          <w:rStyle w:val="a3"/>
        </w:rPr>
        <w:t>Изменение 1.</w:t>
      </w:r>
      <w:r w:rsidRPr="00C934C7">
        <w:rPr>
          <w:rStyle w:val="a3"/>
          <w:b w:val="0"/>
        </w:rPr>
        <w:t xml:space="preserve"> Новый запрет на пополнение ЕНС контрагента</w:t>
      </w:r>
    </w:p>
    <w:p w:rsidR="00C934C7" w:rsidRPr="00C934C7" w:rsidRDefault="00C934C7" w:rsidP="00C934C7">
      <w:pPr>
        <w:pStyle w:val="ds-markdown-paragraph"/>
        <w:spacing w:before="0" w:beforeAutospacing="0" w:after="0" w:afterAutospacing="0"/>
        <w:ind w:firstLine="709"/>
        <w:jc w:val="both"/>
      </w:pPr>
      <w:r w:rsidRPr="00C934C7">
        <w:t>С 2026 года вступил в силу прямой запрет на пополнение ЕНС третьими лицами без подтвержденной налоговой задолженности этого лица перед бюджетом. Ранее подобные операции создавали возможности для неправомерных схем обхода ограничений, включая погашение долгов аффилированных компаний, а также затрудняли идентификацию источника платежа. Теперь налоговые органы получили инструменты для усиления контроля за источниками пополнения ЕНС. На практике это означает, что перечисление средств на ЕНС контрагента без оформленного должным образом обязательства (например, по договору цессии или поручительства) может быть признано недействительным, а средства не будут зачислены в счет уплаты налогов. Компаниям рекомендуется исключить из практики любые операции по пополнению ЕНС контрагентов без юридически значимых оснований, оформленных в соответствии с требованиями налогового законодательства.</w:t>
      </w:r>
    </w:p>
    <w:p w:rsidR="00C934C7" w:rsidRPr="00C934C7" w:rsidRDefault="00C934C7" w:rsidP="00C934C7">
      <w:pPr>
        <w:pStyle w:val="ds-markdown-paragraph"/>
        <w:spacing w:before="0" w:beforeAutospacing="0" w:after="0" w:afterAutospacing="0"/>
        <w:ind w:firstLine="709"/>
        <w:jc w:val="both"/>
      </w:pPr>
      <w:r w:rsidRPr="00C934C7">
        <w:rPr>
          <w:rStyle w:val="a3"/>
        </w:rPr>
        <w:t>Изменение 2.</w:t>
      </w:r>
      <w:r w:rsidRPr="00C934C7">
        <w:rPr>
          <w:rStyle w:val="a3"/>
          <w:b w:val="0"/>
        </w:rPr>
        <w:t xml:space="preserve"> Унификация реквизитов и сокращение количества документов</w:t>
      </w:r>
    </w:p>
    <w:p w:rsidR="00C934C7" w:rsidRPr="00C934C7" w:rsidRDefault="00C934C7" w:rsidP="00C934C7">
      <w:pPr>
        <w:pStyle w:val="ds-markdown-paragraph"/>
        <w:spacing w:before="0" w:beforeAutospacing="0" w:after="0" w:afterAutospacing="0"/>
        <w:ind w:firstLine="709"/>
        <w:jc w:val="both"/>
      </w:pPr>
      <w:r w:rsidRPr="00C934C7">
        <w:t>В 2026 году произошло значительное упрощение процедур администрирования ЕНС. Количество уведомлений об исчисленных суммах по НДФЛ и страховым взносам сокращено, что призвано снизить нагрузку на бухгалтерские службы. Унифицированы реквизиты платежных документов – теперь в назначении платежа достаточно указать «ЕНП». Это позволяет минимизировать ошибки в реквизитах, которые ранее приводили к задержкам зачисления денежных средств. Упрощение не отменяет необходимости тщательной проверки корректности заполнения платежных поручений. Даже незначительная ошибка может привести к тому, что платеж будет классифицирован как невыясненный, что повлечет за собой начисление пеней.</w:t>
      </w:r>
    </w:p>
    <w:p w:rsidR="00C934C7" w:rsidRPr="00C934C7" w:rsidRDefault="00C934C7" w:rsidP="00C934C7">
      <w:pPr>
        <w:pStyle w:val="ds-markdown-paragraph"/>
        <w:spacing w:before="0" w:beforeAutospacing="0" w:after="0" w:afterAutospacing="0"/>
        <w:ind w:firstLine="709"/>
        <w:jc w:val="both"/>
      </w:pPr>
      <w:r w:rsidRPr="00C934C7">
        <w:rPr>
          <w:rStyle w:val="a3"/>
        </w:rPr>
        <w:t>Изменение 3.</w:t>
      </w:r>
      <w:r w:rsidRPr="00C934C7">
        <w:rPr>
          <w:rStyle w:val="a3"/>
          <w:b w:val="0"/>
        </w:rPr>
        <w:t xml:space="preserve"> Автоматизация зачета переплат и повышение прозрачности данных</w:t>
      </w:r>
    </w:p>
    <w:p w:rsidR="00C934C7" w:rsidRPr="00C934C7" w:rsidRDefault="00C934C7" w:rsidP="00C934C7">
      <w:pPr>
        <w:pStyle w:val="ds-markdown-paragraph"/>
        <w:spacing w:before="0" w:beforeAutospacing="0" w:after="0" w:afterAutospacing="0"/>
        <w:ind w:firstLine="709"/>
        <w:jc w:val="both"/>
      </w:pPr>
      <w:r w:rsidRPr="00C934C7">
        <w:t>Новые правила направлены на автоматизацию процесса зачетов и ускорение возврата денежных средств. Если ранее для зачета переплаты требовалось подавать отдельное заявление по каждому налогу, что сопровождалось длительным рассмотрением (до 30 дней), то с 2026 года эти операции автоматизированы. Повышена оперативность обновления данных о состоянии расчетного счета в личном кабинете налогоплательщика, что способствует более точному планированию налоговых платежей. Автоматизация не освобождает налогоплательщика от обязанности регулярно сверять данные личного кабинета ФНС с собственными учетными регистрами. Рассогласование информации может свидетельствовать о технических сбоях или о незадекларированных обязательствах.</w:t>
      </w:r>
    </w:p>
    <w:p w:rsidR="00C934C7" w:rsidRPr="00C934C7" w:rsidRDefault="00C934C7" w:rsidP="00C934C7">
      <w:pPr>
        <w:pStyle w:val="ds-markdown-paragraph"/>
        <w:spacing w:before="0" w:beforeAutospacing="0" w:after="0" w:afterAutospacing="0"/>
        <w:ind w:firstLine="709"/>
        <w:jc w:val="both"/>
        <w:rPr>
          <w:b/>
        </w:rPr>
      </w:pPr>
      <w:r w:rsidRPr="00C934C7">
        <w:rPr>
          <w:b/>
        </w:rPr>
        <w:t>Ключевые выводы для налогоплательщиков в 2026 году:</w:t>
      </w:r>
    </w:p>
    <w:p w:rsidR="00C934C7" w:rsidRPr="00C934C7" w:rsidRDefault="00C934C7" w:rsidP="00C934C7">
      <w:pPr>
        <w:pStyle w:val="ds-markdown-paragraph"/>
        <w:numPr>
          <w:ilvl w:val="0"/>
          <w:numId w:val="1"/>
        </w:numPr>
        <w:spacing w:before="0" w:beforeAutospacing="0" w:after="0" w:afterAutospacing="0"/>
        <w:ind w:left="0" w:firstLine="709"/>
        <w:jc w:val="both"/>
      </w:pPr>
      <w:r w:rsidRPr="00C934C7">
        <w:t xml:space="preserve">Обновите внутренние инструкции по платежам. Включите в них требование об указании в назначении платежа унифицированного обозначения «ЕНП» и запрет на </w:t>
      </w:r>
      <w:r w:rsidRPr="00C934C7">
        <w:lastRenderedPageBreak/>
        <w:t>операции по пополнению ЕНС контрагентов без документально подтвержденных оснований.</w:t>
      </w:r>
    </w:p>
    <w:p w:rsidR="00C934C7" w:rsidRPr="00C934C7" w:rsidRDefault="00C934C7" w:rsidP="00C934C7">
      <w:pPr>
        <w:pStyle w:val="ds-markdown-paragraph"/>
        <w:numPr>
          <w:ilvl w:val="0"/>
          <w:numId w:val="1"/>
        </w:numPr>
        <w:spacing w:before="0" w:beforeAutospacing="0" w:after="0" w:afterAutospacing="0"/>
        <w:ind w:left="0" w:firstLine="709"/>
        <w:jc w:val="both"/>
      </w:pPr>
      <w:r w:rsidRPr="00C934C7">
        <w:t xml:space="preserve">Обеспечьте ежедневную сверку с личным кабинетом ФНС. Данные о состоянии ЕНС обновляются </w:t>
      </w:r>
      <w:proofErr w:type="spellStart"/>
      <w:r w:rsidRPr="00C934C7">
        <w:t>оперативнее</w:t>
      </w:r>
      <w:proofErr w:type="spellEnd"/>
      <w:r w:rsidRPr="00C934C7">
        <w:t>, чем раньше, поэтому проводить сверку следует не реже одного раза в день, а при большом количестве платежей – в режиме реального времени.</w:t>
      </w:r>
    </w:p>
    <w:p w:rsidR="00C934C7" w:rsidRPr="00C934C7" w:rsidRDefault="00C934C7" w:rsidP="00C934C7">
      <w:pPr>
        <w:pStyle w:val="ds-markdown-paragraph"/>
        <w:numPr>
          <w:ilvl w:val="0"/>
          <w:numId w:val="1"/>
        </w:numPr>
        <w:spacing w:before="0" w:beforeAutospacing="0" w:after="0" w:afterAutospacing="0"/>
        <w:ind w:left="0" w:firstLine="709"/>
        <w:jc w:val="both"/>
      </w:pPr>
      <w:r w:rsidRPr="00C934C7">
        <w:t>Актуализируйте бухгалтерские программы. Для полноценного использования новых возможностей ЕНС необходимо обеспечить совместимость внутренних учетных систем с цифровыми сервисами ФНС, включая бесшовный обмен данными через API.</w:t>
      </w:r>
    </w:p>
    <w:p w:rsidR="00C934C7" w:rsidRPr="00C934C7" w:rsidRDefault="00C934C7" w:rsidP="00C934C7">
      <w:pPr>
        <w:pStyle w:val="ds-markdown-paragraph"/>
        <w:numPr>
          <w:ilvl w:val="0"/>
          <w:numId w:val="1"/>
        </w:numPr>
        <w:spacing w:before="0" w:beforeAutospacing="0" w:after="0" w:afterAutospacing="0"/>
        <w:ind w:left="0" w:firstLine="709"/>
        <w:jc w:val="both"/>
      </w:pPr>
      <w:r w:rsidRPr="00C934C7">
        <w:t>Не полагайтесь исключительно на автоматизацию. Автоматизированный зачет переплат не отменяет права налогоплательщика на возврат излишне уплаченных сумм, но для этого может потребоваться подача отдельного заявления. Внимательно отслеживайте сальдо ЕНС и при возникновении расхождений своевременно обращайтесь в налоговую инспекцию.</w:t>
      </w:r>
    </w:p>
    <w:p w:rsidR="00C934C7" w:rsidRPr="00C934C7" w:rsidRDefault="00C934C7" w:rsidP="00C934C7">
      <w:pPr>
        <w:pStyle w:val="ds-markdown-paragraph"/>
        <w:spacing w:before="0" w:beforeAutospacing="0" w:after="0" w:afterAutospacing="0"/>
        <w:ind w:firstLine="709"/>
        <w:jc w:val="both"/>
      </w:pPr>
      <w:r w:rsidRPr="00C934C7">
        <w:t>Новые правила работы с Единым налоговым счетом соответствуют общей стратегии ФНС по переходу к «умному» налоговому администрированию. С одной стороны, они упрощают процедуры и снижают нагрузку на бизнес. С другой – вводят дополнительные ограничения, нарушение которых может повлечь серьезные финансовые потери. Ключ к успешной адаптации – в дисциплине платежной дисциплины, регулярном мониторинге состояния счета и своевременном обновлении внутренних регламентов. Интеграция с личным кабинетом ФНС перестала быть рекомендацией – сегодня это необходимость для всех, кто стремится минимизировать налоговые риски.</w:t>
      </w:r>
    </w:p>
    <w:p w:rsidR="00602686" w:rsidRDefault="00602686"/>
    <w:sectPr w:rsidR="00602686" w:rsidSect="00602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7F11"/>
    <w:multiLevelType w:val="multilevel"/>
    <w:tmpl w:val="8B32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34C7"/>
    <w:rsid w:val="00160F96"/>
    <w:rsid w:val="005B5E33"/>
    <w:rsid w:val="00602686"/>
    <w:rsid w:val="00C934C7"/>
    <w:rsid w:val="00FE3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C93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934C7"/>
    <w:rPr>
      <w:b/>
      <w:bCs/>
    </w:rPr>
  </w:style>
</w:styles>
</file>

<file path=word/webSettings.xml><?xml version="1.0" encoding="utf-8"?>
<w:webSettings xmlns:r="http://schemas.openxmlformats.org/officeDocument/2006/relationships" xmlns:w="http://schemas.openxmlformats.org/wordprocessingml/2006/main">
  <w:divs>
    <w:div w:id="19286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2026-07-14T05:24:00Z</dcterms:created>
  <dcterms:modified xsi:type="dcterms:W3CDTF">2026-07-14T05:24:00Z</dcterms:modified>
</cp:coreProperties>
</file>