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788"/>
        <w:tblW w:w="10492" w:type="dxa"/>
        <w:tblLayout w:type="fixed"/>
        <w:tblLook w:val="0000" w:firstRow="0" w:lastRow="0" w:firstColumn="0" w:lastColumn="0" w:noHBand="0" w:noVBand="0"/>
      </w:tblPr>
      <w:tblGrid>
        <w:gridCol w:w="10492"/>
      </w:tblGrid>
      <w:tr w:rsidR="00E21685" w:rsidTr="00E21685">
        <w:trPr>
          <w:trHeight w:val="322"/>
        </w:trPr>
        <w:tc>
          <w:tcPr>
            <w:tcW w:w="10492" w:type="dxa"/>
            <w:shd w:val="clear" w:color="auto" w:fill="auto"/>
          </w:tcPr>
          <w:p w:rsidR="00E21685" w:rsidRDefault="00E21685" w:rsidP="00E21685">
            <w:pPr>
              <w:keepLines/>
              <w:widowControl/>
              <w:snapToGrid w:val="0"/>
              <w:spacing w:line="276" w:lineRule="auto"/>
              <w:ind w:firstLine="567"/>
              <w:contextualSpacing/>
              <w:jc w:val="center"/>
            </w:pPr>
            <w:bookmarkStart w:id="0" w:name="_top"/>
            <w:bookmarkEnd w:id="0"/>
          </w:p>
          <w:p w:rsidR="00E21685" w:rsidRPr="00887E27" w:rsidRDefault="00E21685" w:rsidP="00E21685">
            <w:pPr>
              <w:keepLines/>
              <w:widowControl/>
              <w:spacing w:line="276" w:lineRule="auto"/>
              <w:ind w:firstLine="567"/>
              <w:contextualSpacing/>
              <w:rPr>
                <w:sz w:val="30"/>
                <w:szCs w:val="30"/>
              </w:rPr>
            </w:pPr>
            <w:r w:rsidRPr="00887E27">
              <w:rPr>
                <w:b/>
                <w:sz w:val="30"/>
                <w:szCs w:val="30"/>
              </w:rPr>
              <w:t>Отделение Социального фонда России по Орловской области</w:t>
            </w:r>
          </w:p>
        </w:tc>
      </w:tr>
      <w:tr w:rsidR="00E21685" w:rsidTr="00E21685">
        <w:trPr>
          <w:trHeight w:val="537"/>
        </w:trPr>
        <w:tc>
          <w:tcPr>
            <w:tcW w:w="10492" w:type="dxa"/>
            <w:tcBorders>
              <w:bottom w:val="single" w:sz="4" w:space="0" w:color="000000"/>
            </w:tcBorders>
            <w:shd w:val="clear" w:color="auto" w:fill="auto"/>
          </w:tcPr>
          <w:p w:rsidR="00E21685" w:rsidRDefault="00E21685" w:rsidP="00E21685">
            <w:pPr>
              <w:keepLines/>
              <w:widowControl/>
              <w:snapToGrid w:val="0"/>
              <w:spacing w:line="276" w:lineRule="auto"/>
              <w:ind w:firstLine="567"/>
              <w:contextualSpacing/>
            </w:pPr>
            <w:r w:rsidRPr="00A560E7">
              <w:rPr>
                <w:sz w:val="24"/>
                <w:szCs w:val="24"/>
              </w:rPr>
              <w:t>302026, г. Орел, ул. Комсомольская, 108, телефон: (486-2) 72-92-41, факс 72-92-07</w:t>
            </w:r>
          </w:p>
        </w:tc>
      </w:tr>
    </w:tbl>
    <w:p w:rsidR="00E21685" w:rsidRDefault="00A448DA" w:rsidP="00E21685">
      <w:r>
        <w:rPr>
          <w:noProof/>
          <w:lang w:eastAsia="ru-RU"/>
        </w:rPr>
        <w:drawing>
          <wp:anchor distT="0" distB="0" distL="114300" distR="114300" simplePos="0" relativeHeight="251659264" behindDoc="0" locked="0" layoutInCell="1" allowOverlap="1">
            <wp:simplePos x="0" y="0"/>
            <wp:positionH relativeFrom="column">
              <wp:posOffset>-489585</wp:posOffset>
            </wp:positionH>
            <wp:positionV relativeFrom="paragraph">
              <wp:posOffset>-434340</wp:posOffset>
            </wp:positionV>
            <wp:extent cx="527050" cy="571500"/>
            <wp:effectExtent l="0" t="0" r="6350" b="0"/>
            <wp:wrapNone/>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4" cstate="print">
                      <a:lum contrast="40000"/>
                      <a:extLst>
                        <a:ext uri="{28A0092B-C50C-407E-A947-70E740481C1C}">
                          <a14:useLocalDpi xmlns:a14="http://schemas.microsoft.com/office/drawing/2010/main" val="0"/>
                        </a:ext>
                      </a:extLst>
                    </a:blip>
                    <a:srcRect/>
                    <a:stretch>
                      <a:fillRect/>
                    </a:stretch>
                  </pic:blipFill>
                  <pic:spPr bwMode="auto">
                    <a:xfrm>
                      <a:off x="0" y="0"/>
                      <a:ext cx="527050" cy="571500"/>
                    </a:xfrm>
                    <a:prstGeom prst="rect">
                      <a:avLst/>
                    </a:prstGeom>
                    <a:noFill/>
                    <a:ln>
                      <a:noFill/>
                    </a:ln>
                  </pic:spPr>
                </pic:pic>
              </a:graphicData>
            </a:graphic>
          </wp:anchor>
        </w:drawing>
      </w:r>
    </w:p>
    <w:p w:rsidR="00E21685" w:rsidRDefault="000E3C0A" w:rsidP="00E21685">
      <w:pPr>
        <w:jc w:val="right"/>
      </w:pPr>
      <w:r w:rsidRPr="000E3C0A">
        <w:rPr>
          <w:b/>
          <w:noProof/>
          <w:sz w:val="28"/>
          <w:szCs w:val="28"/>
          <w:lang w:eastAsia="ru-RU"/>
        </w:rPr>
        <w:drawing>
          <wp:anchor distT="0" distB="0" distL="114300" distR="114300" simplePos="0" relativeHeight="251660288" behindDoc="0" locked="0" layoutInCell="1" allowOverlap="1">
            <wp:simplePos x="0" y="0"/>
            <wp:positionH relativeFrom="column">
              <wp:posOffset>1586865</wp:posOffset>
            </wp:positionH>
            <wp:positionV relativeFrom="paragraph">
              <wp:posOffset>10795</wp:posOffset>
            </wp:positionV>
            <wp:extent cx="2758973" cy="1843279"/>
            <wp:effectExtent l="0" t="0" r="0" b="0"/>
            <wp:wrapNone/>
            <wp:docPr id="2" name="Рисунок 2" descr="C:\Users\ИКТ\Downloads\инвалидное кресл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КТ\Downloads\инвалидное кресло.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8973" cy="1843279"/>
                    </a:xfrm>
                    <a:prstGeom prst="rect">
                      <a:avLst/>
                    </a:prstGeom>
                    <a:noFill/>
                    <a:ln>
                      <a:noFill/>
                    </a:ln>
                  </pic:spPr>
                </pic:pic>
              </a:graphicData>
            </a:graphic>
          </wp:anchor>
        </w:drawing>
      </w:r>
      <w:r w:rsidR="00E21685">
        <w:rPr>
          <w:rStyle w:val="oi732d6d"/>
          <w:b/>
          <w:sz w:val="28"/>
          <w:szCs w:val="28"/>
        </w:rPr>
        <w:t>Пресс-релиз</w:t>
      </w:r>
    </w:p>
    <w:p w:rsidR="00E21685" w:rsidRDefault="00E21685" w:rsidP="00E21685">
      <w:pPr>
        <w:jc w:val="center"/>
        <w:rPr>
          <w:b/>
          <w:sz w:val="28"/>
          <w:szCs w:val="28"/>
        </w:rPr>
      </w:pPr>
    </w:p>
    <w:p w:rsidR="00E21685" w:rsidRDefault="00E21685" w:rsidP="00E21685">
      <w:pPr>
        <w:jc w:val="center"/>
        <w:rPr>
          <w:b/>
          <w:sz w:val="28"/>
          <w:szCs w:val="28"/>
        </w:rPr>
      </w:pPr>
    </w:p>
    <w:p w:rsidR="000E3C0A" w:rsidRDefault="000E3C0A" w:rsidP="00E21685">
      <w:pPr>
        <w:jc w:val="center"/>
        <w:rPr>
          <w:b/>
          <w:sz w:val="28"/>
          <w:szCs w:val="28"/>
        </w:rPr>
      </w:pPr>
    </w:p>
    <w:p w:rsidR="000E3C0A" w:rsidRDefault="000E3C0A" w:rsidP="00BD448F">
      <w:pPr>
        <w:spacing w:line="23" w:lineRule="atLeast"/>
        <w:ind w:firstLine="709"/>
        <w:jc w:val="center"/>
        <w:rPr>
          <w:b/>
          <w:sz w:val="26"/>
          <w:szCs w:val="26"/>
          <w:lang w:val="en-US"/>
        </w:rPr>
      </w:pPr>
    </w:p>
    <w:p w:rsidR="000E3C0A" w:rsidRDefault="000E3C0A" w:rsidP="00BD448F">
      <w:pPr>
        <w:spacing w:line="23" w:lineRule="atLeast"/>
        <w:ind w:firstLine="709"/>
        <w:jc w:val="center"/>
        <w:rPr>
          <w:b/>
          <w:sz w:val="26"/>
          <w:szCs w:val="26"/>
          <w:lang w:val="en-US"/>
        </w:rPr>
      </w:pPr>
    </w:p>
    <w:p w:rsidR="000E3C0A" w:rsidRDefault="000E3C0A" w:rsidP="00BD448F">
      <w:pPr>
        <w:spacing w:line="23" w:lineRule="atLeast"/>
        <w:ind w:firstLine="709"/>
        <w:jc w:val="center"/>
        <w:rPr>
          <w:b/>
          <w:sz w:val="26"/>
          <w:szCs w:val="26"/>
          <w:lang w:val="en-US"/>
        </w:rPr>
      </w:pPr>
    </w:p>
    <w:p w:rsidR="000E3C0A" w:rsidRDefault="000E3C0A" w:rsidP="00BD448F">
      <w:pPr>
        <w:spacing w:line="23" w:lineRule="atLeast"/>
        <w:ind w:firstLine="709"/>
        <w:jc w:val="center"/>
        <w:rPr>
          <w:b/>
          <w:sz w:val="26"/>
          <w:szCs w:val="26"/>
          <w:lang w:val="en-US"/>
        </w:rPr>
      </w:pPr>
    </w:p>
    <w:p w:rsidR="000E3C0A" w:rsidRDefault="000E3C0A" w:rsidP="00BD448F">
      <w:pPr>
        <w:spacing w:line="23" w:lineRule="atLeast"/>
        <w:ind w:firstLine="709"/>
        <w:jc w:val="center"/>
        <w:rPr>
          <w:b/>
          <w:sz w:val="26"/>
          <w:szCs w:val="26"/>
          <w:lang w:val="en-US"/>
        </w:rPr>
      </w:pPr>
    </w:p>
    <w:p w:rsidR="000E3C0A" w:rsidRDefault="000E3C0A" w:rsidP="00BD448F">
      <w:pPr>
        <w:spacing w:line="23" w:lineRule="atLeast"/>
        <w:ind w:firstLine="709"/>
        <w:jc w:val="center"/>
        <w:rPr>
          <w:b/>
          <w:sz w:val="26"/>
          <w:szCs w:val="26"/>
          <w:lang w:val="en-US"/>
        </w:rPr>
      </w:pPr>
    </w:p>
    <w:p w:rsidR="000D16D5" w:rsidRDefault="00C217BB" w:rsidP="00BD448F">
      <w:pPr>
        <w:spacing w:line="23" w:lineRule="atLeast"/>
        <w:ind w:firstLine="709"/>
        <w:jc w:val="center"/>
        <w:rPr>
          <w:b/>
          <w:sz w:val="26"/>
          <w:szCs w:val="26"/>
        </w:rPr>
      </w:pPr>
      <w:bookmarkStart w:id="1" w:name="_GoBack"/>
      <w:r w:rsidRPr="00BD448F">
        <w:rPr>
          <w:b/>
          <w:sz w:val="26"/>
          <w:szCs w:val="26"/>
          <w:lang w:val="en-US"/>
        </w:rPr>
        <w:t>C</w:t>
      </w:r>
      <w:r w:rsidRPr="00BD448F">
        <w:rPr>
          <w:b/>
          <w:sz w:val="26"/>
          <w:szCs w:val="26"/>
        </w:rPr>
        <w:t xml:space="preserve"> начала года </w:t>
      </w:r>
      <w:r w:rsidR="007D7229" w:rsidRPr="00BD448F">
        <w:rPr>
          <w:b/>
          <w:sz w:val="26"/>
          <w:szCs w:val="26"/>
        </w:rPr>
        <w:t>439</w:t>
      </w:r>
      <w:r w:rsidR="00027227">
        <w:rPr>
          <w:b/>
          <w:sz w:val="26"/>
          <w:szCs w:val="26"/>
        </w:rPr>
        <w:t xml:space="preserve"> </w:t>
      </w:r>
      <w:proofErr w:type="spellStart"/>
      <w:r w:rsidRPr="00BD448F">
        <w:rPr>
          <w:b/>
          <w:sz w:val="26"/>
          <w:szCs w:val="26"/>
        </w:rPr>
        <w:t>орловчан</w:t>
      </w:r>
      <w:proofErr w:type="spellEnd"/>
      <w:r w:rsidRPr="00BD448F">
        <w:rPr>
          <w:b/>
          <w:sz w:val="26"/>
          <w:szCs w:val="26"/>
        </w:rPr>
        <w:t xml:space="preserve"> с инвалидностью </w:t>
      </w:r>
      <w:r w:rsidR="00371A4D" w:rsidRPr="00BD448F">
        <w:rPr>
          <w:b/>
          <w:sz w:val="26"/>
          <w:szCs w:val="26"/>
        </w:rPr>
        <w:t>подали заявления на обеспечение</w:t>
      </w:r>
      <w:r w:rsidRPr="00BD448F">
        <w:rPr>
          <w:b/>
          <w:sz w:val="26"/>
          <w:szCs w:val="26"/>
        </w:rPr>
        <w:t xml:space="preserve"> техническими средствами реабилитации (ТСР) с помощью электронного сертификата</w:t>
      </w:r>
    </w:p>
    <w:bookmarkEnd w:id="1"/>
    <w:p w:rsidR="008B0570" w:rsidRPr="00BD448F" w:rsidRDefault="008B0570" w:rsidP="000E3C0A">
      <w:pPr>
        <w:spacing w:line="23" w:lineRule="atLeast"/>
        <w:rPr>
          <w:b/>
          <w:sz w:val="26"/>
          <w:szCs w:val="26"/>
        </w:rPr>
      </w:pPr>
    </w:p>
    <w:p w:rsidR="00D32106" w:rsidRPr="00BD448F" w:rsidRDefault="002E5F3D" w:rsidP="00BD448F">
      <w:pPr>
        <w:spacing w:line="23" w:lineRule="atLeast"/>
        <w:ind w:firstLine="709"/>
        <w:jc w:val="both"/>
        <w:rPr>
          <w:i/>
          <w:sz w:val="26"/>
          <w:szCs w:val="26"/>
        </w:rPr>
      </w:pPr>
      <w:r w:rsidRPr="00BD448F">
        <w:rPr>
          <w:i/>
          <w:sz w:val="26"/>
          <w:szCs w:val="26"/>
        </w:rPr>
        <w:t>Одна из</w:t>
      </w:r>
      <w:r w:rsidR="00C217BB" w:rsidRPr="00BD448F">
        <w:rPr>
          <w:i/>
          <w:sz w:val="26"/>
          <w:szCs w:val="26"/>
        </w:rPr>
        <w:t xml:space="preserve"> мер социальной поддержки граждан с инвалидностью </w:t>
      </w:r>
      <w:r w:rsidRPr="00BD448F">
        <w:rPr>
          <w:i/>
          <w:sz w:val="26"/>
          <w:szCs w:val="26"/>
        </w:rPr>
        <w:t xml:space="preserve">- </w:t>
      </w:r>
      <w:r w:rsidR="00C217BB" w:rsidRPr="00BD448F">
        <w:rPr>
          <w:i/>
          <w:sz w:val="26"/>
          <w:szCs w:val="26"/>
        </w:rPr>
        <w:t>обеспечение техническими средствами реабилитации</w:t>
      </w:r>
      <w:r w:rsidRPr="00BD448F">
        <w:rPr>
          <w:i/>
          <w:sz w:val="26"/>
          <w:szCs w:val="26"/>
        </w:rPr>
        <w:t xml:space="preserve"> (ТСР)</w:t>
      </w:r>
      <w:r w:rsidR="00C217BB" w:rsidRPr="00BD448F">
        <w:rPr>
          <w:i/>
          <w:sz w:val="26"/>
          <w:szCs w:val="26"/>
        </w:rPr>
        <w:t xml:space="preserve">. </w:t>
      </w:r>
      <w:r w:rsidR="00223DF4" w:rsidRPr="00BD448F">
        <w:rPr>
          <w:i/>
          <w:sz w:val="26"/>
          <w:szCs w:val="26"/>
        </w:rPr>
        <w:t>Сегодня граждане с инвалидностью могут получить средства реабилитации по государственным контрактам, заключенным ОСФР по Орловской области, самостоятельно приобрести ТСР и подать заявление на компенсацию илиоформить электро</w:t>
      </w:r>
      <w:r w:rsidR="007D7229" w:rsidRPr="00BD448F">
        <w:rPr>
          <w:i/>
          <w:sz w:val="26"/>
          <w:szCs w:val="26"/>
        </w:rPr>
        <w:t>н</w:t>
      </w:r>
      <w:r w:rsidR="00223DF4" w:rsidRPr="00BD448F">
        <w:rPr>
          <w:i/>
          <w:sz w:val="26"/>
          <w:szCs w:val="26"/>
        </w:rPr>
        <w:t>ный</w:t>
      </w:r>
      <w:r w:rsidR="007D7229" w:rsidRPr="00BD448F">
        <w:rPr>
          <w:i/>
          <w:sz w:val="26"/>
          <w:szCs w:val="26"/>
        </w:rPr>
        <w:t xml:space="preserve"> сертификат на приобретение ТСР.</w:t>
      </w:r>
    </w:p>
    <w:p w:rsidR="00E05A64" w:rsidRPr="00BD448F" w:rsidRDefault="007D7229" w:rsidP="00BD448F">
      <w:pPr>
        <w:spacing w:line="23" w:lineRule="atLeast"/>
        <w:ind w:firstLine="709"/>
        <w:jc w:val="both"/>
        <w:rPr>
          <w:sz w:val="26"/>
          <w:szCs w:val="26"/>
        </w:rPr>
      </w:pPr>
      <w:r w:rsidRPr="00BD448F">
        <w:rPr>
          <w:sz w:val="26"/>
          <w:szCs w:val="26"/>
        </w:rPr>
        <w:t>Орловчане</w:t>
      </w:r>
      <w:r w:rsidR="00E05A64" w:rsidRPr="00BD448F">
        <w:rPr>
          <w:sz w:val="26"/>
          <w:szCs w:val="26"/>
        </w:rPr>
        <w:t xml:space="preserve"> оцен</w:t>
      </w:r>
      <w:r w:rsidRPr="00BD448F">
        <w:rPr>
          <w:sz w:val="26"/>
          <w:szCs w:val="26"/>
        </w:rPr>
        <w:t>или</w:t>
      </w:r>
      <w:r w:rsidR="00E05A64" w:rsidRPr="00BD448F">
        <w:rPr>
          <w:sz w:val="26"/>
          <w:szCs w:val="26"/>
        </w:rPr>
        <w:t xml:space="preserve"> преимущества электронного сертификата на</w:t>
      </w:r>
      <w:r w:rsidRPr="00BD448F">
        <w:rPr>
          <w:sz w:val="26"/>
          <w:szCs w:val="26"/>
        </w:rPr>
        <w:t xml:space="preserve"> приобретение</w:t>
      </w:r>
      <w:r w:rsidR="00E05A64" w:rsidRPr="00BD448F">
        <w:rPr>
          <w:sz w:val="26"/>
          <w:szCs w:val="26"/>
        </w:rPr>
        <w:t xml:space="preserve"> техническ</w:t>
      </w:r>
      <w:r w:rsidR="002F3330" w:rsidRPr="00BD448F">
        <w:rPr>
          <w:sz w:val="26"/>
          <w:szCs w:val="26"/>
        </w:rPr>
        <w:t>их средств реабилитации:</w:t>
      </w:r>
      <w:r w:rsidRPr="00BD448F">
        <w:rPr>
          <w:sz w:val="26"/>
          <w:szCs w:val="26"/>
        </w:rPr>
        <w:t xml:space="preserve"> с </w:t>
      </w:r>
      <w:r w:rsidR="00E05A64" w:rsidRPr="00BD448F">
        <w:rPr>
          <w:sz w:val="26"/>
          <w:szCs w:val="26"/>
        </w:rPr>
        <w:t xml:space="preserve">начала года </w:t>
      </w:r>
      <w:r w:rsidRPr="00BD448F">
        <w:rPr>
          <w:sz w:val="26"/>
          <w:szCs w:val="26"/>
        </w:rPr>
        <w:t xml:space="preserve">электронный </w:t>
      </w:r>
      <w:r w:rsidR="00340078" w:rsidRPr="00BD448F">
        <w:rPr>
          <w:sz w:val="26"/>
          <w:szCs w:val="26"/>
        </w:rPr>
        <w:t>сертификат оформили</w:t>
      </w:r>
      <w:r w:rsidRPr="00BD448F">
        <w:rPr>
          <w:sz w:val="26"/>
          <w:szCs w:val="26"/>
        </w:rPr>
        <w:t>439</w:t>
      </w:r>
      <w:r w:rsidR="009F785C" w:rsidRPr="00BD448F">
        <w:rPr>
          <w:sz w:val="26"/>
          <w:szCs w:val="26"/>
        </w:rPr>
        <w:t xml:space="preserve"> жителей региона</w:t>
      </w:r>
      <w:r w:rsidR="002F3330" w:rsidRPr="00BD448F">
        <w:rPr>
          <w:sz w:val="26"/>
          <w:szCs w:val="26"/>
        </w:rPr>
        <w:t xml:space="preserve"> на сумму, превышающую 25,5 млн. руб. </w:t>
      </w:r>
      <w:r w:rsidR="00F96BCE">
        <w:rPr>
          <w:sz w:val="26"/>
          <w:szCs w:val="26"/>
        </w:rPr>
        <w:t xml:space="preserve">Возможность воспользоваться электронным сертификатом сохраняется в течение года с момента активации. Однако, </w:t>
      </w:r>
      <w:r w:rsidR="00371A4D" w:rsidRPr="00BD448F">
        <w:rPr>
          <w:sz w:val="26"/>
          <w:szCs w:val="26"/>
        </w:rPr>
        <w:t>180</w:t>
      </w:r>
      <w:r w:rsidR="00F96BCE">
        <w:rPr>
          <w:sz w:val="26"/>
          <w:szCs w:val="26"/>
        </w:rPr>
        <w:t xml:space="preserve"> граждан уже</w:t>
      </w:r>
      <w:r w:rsidR="002F3330" w:rsidRPr="00BD448F">
        <w:rPr>
          <w:sz w:val="26"/>
          <w:szCs w:val="26"/>
        </w:rPr>
        <w:t xml:space="preserve"> совершили покупку</w:t>
      </w:r>
      <w:r w:rsidR="000B4615" w:rsidRPr="00BD448F">
        <w:rPr>
          <w:sz w:val="26"/>
          <w:szCs w:val="26"/>
        </w:rPr>
        <w:t xml:space="preserve"> ТСР</w:t>
      </w:r>
      <w:r w:rsidR="002F3330" w:rsidRPr="00BD448F">
        <w:rPr>
          <w:sz w:val="26"/>
          <w:szCs w:val="26"/>
        </w:rPr>
        <w:t>, воспользовавшись</w:t>
      </w:r>
      <w:r w:rsidR="000B4615" w:rsidRPr="00BD448F">
        <w:rPr>
          <w:sz w:val="26"/>
          <w:szCs w:val="26"/>
        </w:rPr>
        <w:t>с</w:t>
      </w:r>
      <w:r w:rsidR="002F3330" w:rsidRPr="00BD448F">
        <w:rPr>
          <w:sz w:val="26"/>
          <w:szCs w:val="26"/>
        </w:rPr>
        <w:t>е</w:t>
      </w:r>
      <w:r w:rsidR="000B4615" w:rsidRPr="00BD448F">
        <w:rPr>
          <w:sz w:val="26"/>
          <w:szCs w:val="26"/>
        </w:rPr>
        <w:t>р</w:t>
      </w:r>
      <w:r w:rsidR="002F3330" w:rsidRPr="00BD448F">
        <w:rPr>
          <w:sz w:val="26"/>
          <w:szCs w:val="26"/>
        </w:rPr>
        <w:t>тификатом.</w:t>
      </w:r>
    </w:p>
    <w:p w:rsidR="000B4615" w:rsidRPr="00BD448F" w:rsidRDefault="000B4615" w:rsidP="00BD448F">
      <w:pPr>
        <w:spacing w:line="23" w:lineRule="atLeast"/>
        <w:ind w:firstLine="709"/>
        <w:jc w:val="both"/>
        <w:rPr>
          <w:sz w:val="26"/>
          <w:szCs w:val="26"/>
        </w:rPr>
      </w:pPr>
      <w:r w:rsidRPr="00BD448F">
        <w:rPr>
          <w:sz w:val="26"/>
          <w:szCs w:val="26"/>
        </w:rPr>
        <w:t xml:space="preserve">Напомним, что ТСР можно получить за счет бюджетных средств на основании рекомендаций индивидуальной программы реабилитации (ИПРА). </w:t>
      </w:r>
    </w:p>
    <w:p w:rsidR="000B4615" w:rsidRPr="00BD448F" w:rsidRDefault="000B4615" w:rsidP="00BD448F">
      <w:pPr>
        <w:spacing w:line="23" w:lineRule="atLeast"/>
        <w:ind w:firstLine="709"/>
        <w:jc w:val="both"/>
        <w:rPr>
          <w:sz w:val="26"/>
          <w:szCs w:val="26"/>
        </w:rPr>
      </w:pPr>
      <w:r w:rsidRPr="00BD448F">
        <w:rPr>
          <w:sz w:val="26"/>
          <w:szCs w:val="26"/>
        </w:rPr>
        <w:t>Осуществить покупку ТСР с помощью электронного сертификата можно в торговых точках, подключенных к национальной системе платёжных карт (НСПК), а т</w:t>
      </w:r>
      <w:r w:rsidR="00340078">
        <w:rPr>
          <w:sz w:val="26"/>
          <w:szCs w:val="26"/>
        </w:rPr>
        <w:t>акже в онлайн</w:t>
      </w:r>
      <w:r w:rsidR="00E30DD0" w:rsidRPr="00E30DD0">
        <w:rPr>
          <w:sz w:val="26"/>
          <w:szCs w:val="26"/>
        </w:rPr>
        <w:t xml:space="preserve"> -</w:t>
      </w:r>
      <w:r w:rsidR="00340078">
        <w:rPr>
          <w:sz w:val="26"/>
          <w:szCs w:val="26"/>
        </w:rPr>
        <w:t xml:space="preserve"> магазинах. Теперь</w:t>
      </w:r>
      <w:r w:rsidRPr="00BD448F">
        <w:rPr>
          <w:sz w:val="26"/>
          <w:szCs w:val="26"/>
        </w:rPr>
        <w:t xml:space="preserve"> весь процесс от подачи заявления до покупки ТСР доступен онлайн.</w:t>
      </w:r>
      <w:r w:rsidR="00CB70F7" w:rsidRPr="00BD448F">
        <w:rPr>
          <w:sz w:val="26"/>
          <w:szCs w:val="26"/>
        </w:rPr>
        <w:t xml:space="preserve">  Электронный сертификат даёт возможность выбрать именно то средство реабилитации, которое подходит гражданину, заказать его на площадке </w:t>
      </w:r>
      <w:proofErr w:type="spellStart"/>
      <w:r w:rsidR="00CB70F7" w:rsidRPr="00BD448F">
        <w:rPr>
          <w:sz w:val="26"/>
          <w:szCs w:val="26"/>
        </w:rPr>
        <w:t>маркетплейса</w:t>
      </w:r>
      <w:proofErr w:type="spellEnd"/>
      <w:r w:rsidR="00CB70F7" w:rsidRPr="00BD448F">
        <w:rPr>
          <w:sz w:val="26"/>
          <w:szCs w:val="26"/>
        </w:rPr>
        <w:t xml:space="preserve"> и оформить доставку, что особенно важно тем, кто не может выйти из дома или проживает в отдаленных районах.</w:t>
      </w:r>
    </w:p>
    <w:p w:rsidR="00542C78" w:rsidRPr="00BD448F" w:rsidRDefault="00F92452" w:rsidP="00BD448F">
      <w:pPr>
        <w:spacing w:line="23" w:lineRule="atLeast"/>
        <w:ind w:firstLine="709"/>
        <w:jc w:val="both"/>
        <w:rPr>
          <w:sz w:val="26"/>
          <w:szCs w:val="26"/>
        </w:rPr>
      </w:pPr>
      <w:r w:rsidRPr="00BD448F">
        <w:rPr>
          <w:sz w:val="26"/>
          <w:szCs w:val="26"/>
        </w:rPr>
        <w:t>Сертификат привяз</w:t>
      </w:r>
      <w:r w:rsidR="002E5641" w:rsidRPr="00BD448F">
        <w:rPr>
          <w:sz w:val="26"/>
          <w:szCs w:val="26"/>
        </w:rPr>
        <w:t>ан</w:t>
      </w:r>
      <w:r w:rsidRPr="00BD448F">
        <w:rPr>
          <w:sz w:val="26"/>
          <w:szCs w:val="26"/>
        </w:rPr>
        <w:t xml:space="preserve"> к банковской карте </w:t>
      </w:r>
      <w:r w:rsidR="002E5641" w:rsidRPr="00BD448F">
        <w:rPr>
          <w:sz w:val="26"/>
          <w:szCs w:val="26"/>
        </w:rPr>
        <w:t xml:space="preserve">национальной </w:t>
      </w:r>
      <w:r w:rsidRPr="00BD448F">
        <w:rPr>
          <w:sz w:val="26"/>
          <w:szCs w:val="26"/>
        </w:rPr>
        <w:t>платежной системы МИР.</w:t>
      </w:r>
      <w:r w:rsidR="00681165" w:rsidRPr="00BD448F">
        <w:rPr>
          <w:sz w:val="26"/>
          <w:szCs w:val="26"/>
        </w:rPr>
        <w:t>Для оплаты ТСР с помощью электронного сертификата в момент покупки гражданину достаточно предъявить карту, к которой привязан электронный сертификат</w:t>
      </w:r>
      <w:r w:rsidR="003672FB">
        <w:rPr>
          <w:sz w:val="26"/>
          <w:szCs w:val="26"/>
        </w:rPr>
        <w:t>,</w:t>
      </w:r>
      <w:r w:rsidR="00681165" w:rsidRPr="00BD448F">
        <w:rPr>
          <w:sz w:val="26"/>
          <w:szCs w:val="26"/>
        </w:rPr>
        <w:t xml:space="preserve"> и с сертифик</w:t>
      </w:r>
      <w:r w:rsidR="003672FB">
        <w:rPr>
          <w:sz w:val="26"/>
          <w:szCs w:val="26"/>
        </w:rPr>
        <w:t>ата спишу</w:t>
      </w:r>
      <w:r w:rsidR="00681165" w:rsidRPr="00BD448F">
        <w:rPr>
          <w:sz w:val="26"/>
          <w:szCs w:val="26"/>
        </w:rPr>
        <w:t>тся</w:t>
      </w:r>
      <w:r w:rsidR="003672FB">
        <w:rPr>
          <w:sz w:val="26"/>
          <w:szCs w:val="26"/>
        </w:rPr>
        <w:t xml:space="preserve"> деньги за</w:t>
      </w:r>
      <w:r w:rsidR="00681165" w:rsidRPr="00BD448F">
        <w:rPr>
          <w:sz w:val="26"/>
          <w:szCs w:val="26"/>
        </w:rPr>
        <w:t xml:space="preserve"> то количество ТСР, которое приобретено (в пределах остатка на сертификате). Если возникла необходимость доплатить сумму из собственных средств, то это можно сделать любым удобным способом (с указанной карты МИР, другой карты или наличными)</w:t>
      </w:r>
      <w:r w:rsidR="00542C78" w:rsidRPr="00BD448F">
        <w:rPr>
          <w:sz w:val="26"/>
          <w:szCs w:val="26"/>
        </w:rPr>
        <w:t>.</w:t>
      </w:r>
    </w:p>
    <w:p w:rsidR="007817C5" w:rsidRPr="00BD448F" w:rsidRDefault="00CB70F7" w:rsidP="00B51D2B">
      <w:pPr>
        <w:spacing w:line="23" w:lineRule="atLeast"/>
        <w:ind w:firstLine="709"/>
        <w:jc w:val="both"/>
        <w:rPr>
          <w:sz w:val="26"/>
          <w:szCs w:val="26"/>
        </w:rPr>
      </w:pPr>
      <w:r w:rsidRPr="00BD448F">
        <w:rPr>
          <w:sz w:val="26"/>
          <w:szCs w:val="26"/>
        </w:rPr>
        <w:t xml:space="preserve">Оформить сертификат можно через портал Госуслуги, обратившись </w:t>
      </w:r>
      <w:r w:rsidR="00831D13">
        <w:rPr>
          <w:sz w:val="26"/>
          <w:szCs w:val="26"/>
        </w:rPr>
        <w:t xml:space="preserve">в </w:t>
      </w:r>
      <w:r w:rsidRPr="00BD448F">
        <w:rPr>
          <w:sz w:val="26"/>
          <w:szCs w:val="26"/>
        </w:rPr>
        <w:t xml:space="preserve">МФЦ </w:t>
      </w:r>
      <w:r w:rsidR="00E34693" w:rsidRPr="00BD448F">
        <w:rPr>
          <w:sz w:val="26"/>
          <w:szCs w:val="26"/>
        </w:rPr>
        <w:t xml:space="preserve">или </w:t>
      </w:r>
      <w:r w:rsidR="00E34693">
        <w:rPr>
          <w:sz w:val="26"/>
          <w:szCs w:val="26"/>
        </w:rPr>
        <w:t>Клиентские</w:t>
      </w:r>
      <w:r w:rsidR="00340078">
        <w:rPr>
          <w:sz w:val="26"/>
          <w:szCs w:val="26"/>
        </w:rPr>
        <w:t xml:space="preserve"> службы</w:t>
      </w:r>
      <w:r w:rsidRPr="00BD448F">
        <w:rPr>
          <w:sz w:val="26"/>
          <w:szCs w:val="26"/>
        </w:rPr>
        <w:t xml:space="preserve"> Орловского Отделения СФР.</w:t>
      </w:r>
    </w:p>
    <w:p w:rsidR="00CB70F7" w:rsidRDefault="00CB70F7" w:rsidP="009741CD">
      <w:pPr>
        <w:jc w:val="both"/>
        <w:rPr>
          <w:sz w:val="24"/>
          <w:szCs w:val="24"/>
        </w:rPr>
      </w:pPr>
    </w:p>
    <w:p w:rsidR="00061B11" w:rsidRPr="00061B11" w:rsidRDefault="00061B11" w:rsidP="009741CD">
      <w:pPr>
        <w:jc w:val="both"/>
        <w:rPr>
          <w:sz w:val="24"/>
          <w:szCs w:val="24"/>
        </w:rPr>
      </w:pPr>
      <w:r w:rsidRPr="00CB70F7">
        <w:rPr>
          <w:sz w:val="24"/>
          <w:szCs w:val="24"/>
        </w:rPr>
        <w:t>#</w:t>
      </w:r>
      <w:r>
        <w:rPr>
          <w:sz w:val="24"/>
          <w:szCs w:val="24"/>
        </w:rPr>
        <w:t xml:space="preserve">СФР </w:t>
      </w:r>
      <w:r w:rsidRPr="00CB70F7">
        <w:rPr>
          <w:sz w:val="24"/>
          <w:szCs w:val="24"/>
        </w:rPr>
        <w:t>#</w:t>
      </w:r>
      <w:proofErr w:type="spellStart"/>
      <w:r>
        <w:rPr>
          <w:sz w:val="24"/>
          <w:szCs w:val="24"/>
        </w:rPr>
        <w:t>тср</w:t>
      </w:r>
      <w:proofErr w:type="spellEnd"/>
    </w:p>
    <w:sectPr w:rsidR="00061B11" w:rsidRPr="00061B11" w:rsidSect="00B83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28D7"/>
    <w:rsid w:val="0001679A"/>
    <w:rsid w:val="00027227"/>
    <w:rsid w:val="00033074"/>
    <w:rsid w:val="00061B11"/>
    <w:rsid w:val="000B4615"/>
    <w:rsid w:val="000D16D5"/>
    <w:rsid w:val="000E3C0A"/>
    <w:rsid w:val="000F655B"/>
    <w:rsid w:val="001458EA"/>
    <w:rsid w:val="001B5FE4"/>
    <w:rsid w:val="00223DF4"/>
    <w:rsid w:val="00252E94"/>
    <w:rsid w:val="00272211"/>
    <w:rsid w:val="002E5641"/>
    <w:rsid w:val="002E5F3D"/>
    <w:rsid w:val="002F3330"/>
    <w:rsid w:val="0031440D"/>
    <w:rsid w:val="00340078"/>
    <w:rsid w:val="003672FB"/>
    <w:rsid w:val="00371A4D"/>
    <w:rsid w:val="003B0D89"/>
    <w:rsid w:val="003D1787"/>
    <w:rsid w:val="0047300A"/>
    <w:rsid w:val="004B1D46"/>
    <w:rsid w:val="00542C78"/>
    <w:rsid w:val="00551D30"/>
    <w:rsid w:val="00573F89"/>
    <w:rsid w:val="00594B40"/>
    <w:rsid w:val="005C1F90"/>
    <w:rsid w:val="006323D3"/>
    <w:rsid w:val="00681165"/>
    <w:rsid w:val="0068238C"/>
    <w:rsid w:val="00686349"/>
    <w:rsid w:val="00731892"/>
    <w:rsid w:val="007817C5"/>
    <w:rsid w:val="0078772A"/>
    <w:rsid w:val="007D7229"/>
    <w:rsid w:val="007F5810"/>
    <w:rsid w:val="00831D13"/>
    <w:rsid w:val="008B0570"/>
    <w:rsid w:val="009741CD"/>
    <w:rsid w:val="009F785C"/>
    <w:rsid w:val="00A448DA"/>
    <w:rsid w:val="00B51D2B"/>
    <w:rsid w:val="00B83357"/>
    <w:rsid w:val="00B94D42"/>
    <w:rsid w:val="00BD448F"/>
    <w:rsid w:val="00BE43E3"/>
    <w:rsid w:val="00C04031"/>
    <w:rsid w:val="00C217BB"/>
    <w:rsid w:val="00C32E28"/>
    <w:rsid w:val="00CB70F7"/>
    <w:rsid w:val="00CE572E"/>
    <w:rsid w:val="00D32106"/>
    <w:rsid w:val="00E05A64"/>
    <w:rsid w:val="00E128D7"/>
    <w:rsid w:val="00E21685"/>
    <w:rsid w:val="00E30DD0"/>
    <w:rsid w:val="00E34693"/>
    <w:rsid w:val="00F92452"/>
    <w:rsid w:val="00F96BCE"/>
    <w:rsid w:val="00FF6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42289"/>
  <w15:docId w15:val="{EDF1235D-D222-4567-A5B6-07CA0A70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685"/>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i732d6d">
    <w:name w:val="oi732d6d"/>
    <w:basedOn w:val="a0"/>
    <w:rsid w:val="00E21685"/>
  </w:style>
  <w:style w:type="character" w:customStyle="1" w:styleId="layout">
    <w:name w:val="layout"/>
    <w:basedOn w:val="a0"/>
    <w:rsid w:val="008B0570"/>
  </w:style>
  <w:style w:type="character" w:styleId="a3">
    <w:name w:val="Hyperlink"/>
    <w:basedOn w:val="a0"/>
    <w:uiPriority w:val="99"/>
    <w:unhideWhenUsed/>
    <w:rsid w:val="00E05A64"/>
    <w:rPr>
      <w:color w:val="0563C1" w:themeColor="hyperlink"/>
      <w:u w:val="single"/>
    </w:rPr>
  </w:style>
  <w:style w:type="paragraph" w:styleId="a4">
    <w:name w:val="List Paragraph"/>
    <w:basedOn w:val="a"/>
    <w:uiPriority w:val="34"/>
    <w:qFormat/>
    <w:rsid w:val="000B4615"/>
    <w:pPr>
      <w:ind w:left="720"/>
      <w:contextualSpacing/>
    </w:pPr>
  </w:style>
  <w:style w:type="paragraph" w:styleId="a5">
    <w:name w:val="Balloon Text"/>
    <w:basedOn w:val="a"/>
    <w:link w:val="a6"/>
    <w:uiPriority w:val="99"/>
    <w:semiHidden/>
    <w:unhideWhenUsed/>
    <w:rsid w:val="00C04031"/>
    <w:rPr>
      <w:rFonts w:ascii="Segoe UI" w:hAnsi="Segoe UI" w:cs="Segoe UI"/>
      <w:sz w:val="18"/>
      <w:szCs w:val="18"/>
    </w:rPr>
  </w:style>
  <w:style w:type="character" w:customStyle="1" w:styleId="a6">
    <w:name w:val="Текст выноски Знак"/>
    <w:basedOn w:val="a0"/>
    <w:link w:val="a5"/>
    <w:uiPriority w:val="99"/>
    <w:semiHidden/>
    <w:rsid w:val="00C04031"/>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349</Words>
  <Characters>1992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Окунькова Анастасия Юрьевна</dc:creator>
  <cp:lastModifiedBy>ИКТ</cp:lastModifiedBy>
  <cp:revision>10</cp:revision>
  <cp:lastPrinted>2024-03-27T12:25:00Z</cp:lastPrinted>
  <dcterms:created xsi:type="dcterms:W3CDTF">2024-03-27T12:27:00Z</dcterms:created>
  <dcterms:modified xsi:type="dcterms:W3CDTF">2024-04-25T10:02:00Z</dcterms:modified>
</cp:coreProperties>
</file>