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87419" w:rsidRPr="00E87419" w:rsidRDefault="00E87419" w:rsidP="00E874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419"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кода ОКТМО Орловского муниципального округа</w:t>
      </w:r>
    </w:p>
    <w:p w:rsidR="00E87419" w:rsidRPr="00E87419" w:rsidRDefault="00E87419" w:rsidP="00E87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419">
        <w:rPr>
          <w:rFonts w:ascii="Times New Roman" w:eastAsia="Times New Roman" w:hAnsi="Times New Roman"/>
          <w:sz w:val="24"/>
          <w:szCs w:val="24"/>
          <w:lang w:eastAsia="ru-RU"/>
        </w:rPr>
        <w:t>Депутатами Орловского областного Совета народных депутатов 30 апреля 2021 года принято решение об объединении всех входящих в состав Орловского района поселений во вновь образованный Орловский муниципальный округ.</w:t>
      </w:r>
    </w:p>
    <w:p w:rsidR="00E87419" w:rsidRPr="00E87419" w:rsidRDefault="00E87419" w:rsidP="00E87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419">
        <w:rPr>
          <w:rFonts w:ascii="Times New Roman" w:eastAsia="Times New Roman" w:hAnsi="Times New Roman"/>
          <w:sz w:val="24"/>
          <w:szCs w:val="24"/>
          <w:lang w:eastAsia="ru-RU"/>
        </w:rPr>
        <w:t>Поселения, входящие в состав Орловского района и Орловский район утрачивают статус муниципальных образований Орловской области.</w:t>
      </w:r>
    </w:p>
    <w:p w:rsidR="00E87419" w:rsidRPr="00E87419" w:rsidRDefault="00E87419" w:rsidP="00E87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8741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объединения городских и сельских поселений Орловского района в муниципальное образование «Орловский муниципальный округ Орловской области» в Общероссийский классификатор территорий муниципальных образований включен </w:t>
      </w:r>
      <w:r w:rsidRPr="00E8741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новый код ОКТМО: 54501000 – Орловский муниципальный округ, который с 01.01.2022 года должен применяться налогоплательщиками при заполнении платежных документов</w:t>
      </w:r>
      <w:r w:rsidRPr="00E874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E87419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Действовавшие ранее коды ОКТМО Орловского муниципального района и входящих в него поселений аннулированы.</w:t>
      </w:r>
    </w:p>
    <w:p w:rsidR="00E87419" w:rsidRPr="00E87419" w:rsidRDefault="00E87419" w:rsidP="00E87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419">
        <w:rPr>
          <w:rFonts w:ascii="Times New Roman" w:eastAsia="Times New Roman" w:hAnsi="Times New Roman"/>
          <w:sz w:val="24"/>
          <w:szCs w:val="24"/>
          <w:lang w:eastAsia="ru-RU"/>
        </w:rPr>
        <w:t>Неверное оформление платежных документов оказывает негативное влияние на финансово-хозяйственную деятельность налогоплательщиков, так как создает угрозу возникновения недоимки и может повлечь к начислению пени и применению мер принудительного взыскания задолженности. В то время как отсутствие ошибок в платежных поручениях, позволяет своевременно отражать информацию в карточках расчетов с бюджетом налогоплательщиков, предотвращает необоснованное образование задолженности, а также способствует оперативному наполнению бюджетов бюджетн</w:t>
      </w:r>
      <w:r w:rsidR="003667AE">
        <w:rPr>
          <w:rFonts w:ascii="Times New Roman" w:eastAsia="Times New Roman" w:hAnsi="Times New Roman"/>
          <w:sz w:val="24"/>
          <w:szCs w:val="24"/>
          <w:lang w:eastAsia="ru-RU"/>
        </w:rPr>
        <w:t>ой системы Российской Федерации.</w:t>
      </w:r>
      <w:bookmarkStart w:id="0" w:name="_GoBack"/>
      <w:bookmarkEnd w:id="0"/>
      <w:r w:rsidRPr="00E87419">
        <w:rPr>
          <w:rFonts w:ascii="Times New Roman" w:eastAsia="Times New Roman" w:hAnsi="Times New Roman"/>
          <w:sz w:val="24"/>
          <w:szCs w:val="24"/>
          <w:lang w:eastAsia="ru-RU"/>
        </w:rPr>
        <w:t>    </w:t>
      </w:r>
    </w:p>
    <w:p w:rsidR="00E87419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87419" w:rsidRPr="00B10BB2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2022-01-27T11:55:00Z</dcterms:created>
  <dcterms:modified xsi:type="dcterms:W3CDTF">2022-02-04T11:41:00Z</dcterms:modified>
</cp:coreProperties>
</file>